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735E7" w14:textId="77777777" w:rsidR="00FB24A3" w:rsidRDefault="000173F7" w:rsidP="00FB24A3">
      <w:pPr>
        <w:spacing w:before="0" w:after="0" w:line="288" w:lineRule="auto"/>
        <w:jc w:val="center"/>
        <w:rPr>
          <w:b/>
          <w:color w:val="4F81BD" w:themeColor="accent1"/>
          <w:sz w:val="24"/>
          <w:szCs w:val="24"/>
        </w:rPr>
      </w:pPr>
      <w:bookmarkStart w:id="0" w:name="_GoBack"/>
      <w:bookmarkEnd w:id="0"/>
      <w:r w:rsidRPr="00D92ADC">
        <w:rPr>
          <w:b/>
          <w:color w:val="4F81BD" w:themeColor="accent1"/>
          <w:sz w:val="24"/>
          <w:szCs w:val="24"/>
        </w:rPr>
        <w:t xml:space="preserve">Improving the </w:t>
      </w:r>
      <w:r w:rsidR="00A4031F" w:rsidRPr="00D92ADC">
        <w:rPr>
          <w:b/>
          <w:color w:val="4F81BD" w:themeColor="accent1"/>
          <w:sz w:val="24"/>
          <w:szCs w:val="24"/>
        </w:rPr>
        <w:t>Quality and Inclusiveness of Public Policy Form</w:t>
      </w:r>
      <w:r w:rsidR="00833192" w:rsidRPr="00D92ADC">
        <w:rPr>
          <w:b/>
          <w:color w:val="4F81BD" w:themeColor="accent1"/>
          <w:sz w:val="24"/>
          <w:szCs w:val="24"/>
        </w:rPr>
        <w:t>ul</w:t>
      </w:r>
      <w:r w:rsidR="00A4031F" w:rsidRPr="00D92ADC">
        <w:rPr>
          <w:b/>
          <w:color w:val="4F81BD" w:themeColor="accent1"/>
          <w:sz w:val="24"/>
          <w:szCs w:val="24"/>
        </w:rPr>
        <w:t>ation</w:t>
      </w:r>
      <w:r w:rsidR="00C86C65" w:rsidRPr="00D92ADC">
        <w:rPr>
          <w:b/>
          <w:color w:val="4F81BD" w:themeColor="accent1"/>
          <w:sz w:val="24"/>
          <w:szCs w:val="24"/>
        </w:rPr>
        <w:t xml:space="preserve"> </w:t>
      </w:r>
    </w:p>
    <w:p w14:paraId="265C7570" w14:textId="10041C1C" w:rsidR="00D92ADC" w:rsidRPr="00D92ADC" w:rsidRDefault="006B056F" w:rsidP="00FB24A3">
      <w:pPr>
        <w:spacing w:before="0" w:after="0" w:line="288" w:lineRule="auto"/>
        <w:jc w:val="center"/>
        <w:rPr>
          <w:b/>
          <w:color w:val="4F81BD" w:themeColor="accent1"/>
        </w:rPr>
      </w:pPr>
      <w:proofErr w:type="gramStart"/>
      <w:r w:rsidRPr="00D92ADC">
        <w:rPr>
          <w:b/>
          <w:color w:val="4F81BD" w:themeColor="accent1"/>
          <w:sz w:val="24"/>
          <w:szCs w:val="24"/>
        </w:rPr>
        <w:t>at</w:t>
      </w:r>
      <w:proofErr w:type="gramEnd"/>
      <w:r w:rsidRPr="00D92ADC">
        <w:rPr>
          <w:b/>
          <w:color w:val="4F81BD" w:themeColor="accent1"/>
          <w:sz w:val="24"/>
          <w:szCs w:val="24"/>
        </w:rPr>
        <w:t xml:space="preserve"> the National Level</w:t>
      </w:r>
      <w:r w:rsidR="00AF312E" w:rsidRPr="00D92ADC">
        <w:rPr>
          <w:b/>
          <w:color w:val="4F81BD" w:themeColor="accent1"/>
          <w:sz w:val="24"/>
          <w:szCs w:val="24"/>
        </w:rPr>
        <w:br/>
      </w:r>
      <w:r w:rsidR="00D92ADC" w:rsidRPr="00D92ADC">
        <w:rPr>
          <w:b/>
          <w:color w:val="4F81BD" w:themeColor="accent1"/>
        </w:rPr>
        <w:t>ESP Portfolio Review (30</w:t>
      </w:r>
      <w:r w:rsidR="00D92ADC" w:rsidRPr="00D92ADC">
        <w:rPr>
          <w:b/>
          <w:color w:val="4F81BD" w:themeColor="accent1"/>
          <w:vertAlign w:val="superscript"/>
        </w:rPr>
        <w:t>th</w:t>
      </w:r>
      <w:r w:rsidR="00FB24A3">
        <w:rPr>
          <w:b/>
          <w:color w:val="4F81BD" w:themeColor="accent1"/>
        </w:rPr>
        <w:t xml:space="preserve"> November, 2015)</w:t>
      </w:r>
    </w:p>
    <w:p w14:paraId="4E5367A6" w14:textId="20311EF3" w:rsidR="0092781F" w:rsidRPr="00D92ADC" w:rsidRDefault="0092781F" w:rsidP="00D92ADC">
      <w:pPr>
        <w:jc w:val="center"/>
        <w:rPr>
          <w:b/>
          <w:color w:val="4F81BD" w:themeColor="accent1"/>
          <w:sz w:val="8"/>
          <w:szCs w:val="8"/>
        </w:rPr>
      </w:pPr>
    </w:p>
    <w:p w14:paraId="72D286E9" w14:textId="77777777" w:rsidR="009046B2" w:rsidRPr="00065841" w:rsidRDefault="009046B2" w:rsidP="00635C16">
      <w:pPr>
        <w:rPr>
          <w:b/>
          <w:color w:val="4F81BD" w:themeColor="accent1"/>
          <w:sz w:val="24"/>
          <w:szCs w:val="24"/>
        </w:rPr>
      </w:pPr>
      <w:r w:rsidRPr="00065841">
        <w:rPr>
          <w:b/>
          <w:color w:val="4F81BD" w:themeColor="accent1"/>
          <w:sz w:val="24"/>
          <w:szCs w:val="24"/>
        </w:rPr>
        <w:t>Defining the Portfolio Parameters</w:t>
      </w:r>
    </w:p>
    <w:p w14:paraId="08DD6DC3" w14:textId="4E1A937B" w:rsidR="00574705" w:rsidRDefault="00574705" w:rsidP="00574705">
      <w:pPr>
        <w:spacing w:line="276" w:lineRule="auto"/>
        <w:rPr>
          <w:rFonts w:ascii="Garamond" w:hAnsi="Garamond"/>
          <w:bCs/>
          <w:sz w:val="24"/>
          <w:szCs w:val="24"/>
        </w:rPr>
      </w:pPr>
      <w:r>
        <w:rPr>
          <w:rFonts w:ascii="Garamond" w:hAnsi="Garamond"/>
          <w:bCs/>
          <w:sz w:val="24"/>
          <w:szCs w:val="24"/>
        </w:rPr>
        <w:t xml:space="preserve">In ESP’s 2014-2017 strategy, </w:t>
      </w:r>
      <w:r w:rsidR="00B83CB3">
        <w:rPr>
          <w:rFonts w:ascii="Garamond" w:hAnsi="Garamond"/>
          <w:bCs/>
          <w:sz w:val="24"/>
          <w:szCs w:val="24"/>
        </w:rPr>
        <w:t xml:space="preserve">Field </w:t>
      </w:r>
      <w:r>
        <w:rPr>
          <w:rFonts w:ascii="Garamond" w:hAnsi="Garamond"/>
          <w:bCs/>
          <w:sz w:val="24"/>
          <w:szCs w:val="24"/>
        </w:rPr>
        <w:t xml:space="preserve">3 encompasses </w:t>
      </w:r>
      <w:r w:rsidR="009B0D20">
        <w:rPr>
          <w:rFonts w:ascii="Garamond" w:hAnsi="Garamond"/>
          <w:bCs/>
          <w:sz w:val="24"/>
          <w:szCs w:val="24"/>
        </w:rPr>
        <w:t>two categories of work:</w:t>
      </w:r>
      <w:r w:rsidR="00C86C65" w:rsidRPr="00C86C65">
        <w:rPr>
          <w:rFonts w:ascii="Garamond" w:hAnsi="Garamond"/>
          <w:bCs/>
          <w:sz w:val="24"/>
          <w:szCs w:val="24"/>
        </w:rPr>
        <w:t xml:space="preserve"> </w:t>
      </w:r>
      <w:r w:rsidR="00B83CB3" w:rsidRPr="000D4D74">
        <w:rPr>
          <w:rFonts w:ascii="Garamond" w:hAnsi="Garamond"/>
          <w:bCs/>
          <w:i/>
          <w:sz w:val="24"/>
          <w:szCs w:val="24"/>
        </w:rPr>
        <w:t>Good Governance and Democratic Practice: Engaging regional and global institutions in support of open society values</w:t>
      </w:r>
      <w:r w:rsidR="00FB24A3">
        <w:rPr>
          <w:rFonts w:ascii="Garamond" w:hAnsi="Garamond"/>
          <w:bCs/>
          <w:sz w:val="24"/>
          <w:szCs w:val="24"/>
        </w:rPr>
        <w:t xml:space="preserve">, which </w:t>
      </w:r>
      <w:r w:rsidR="00EC7AAD">
        <w:rPr>
          <w:rFonts w:ascii="Garamond" w:hAnsi="Garamond"/>
          <w:bCs/>
          <w:sz w:val="24"/>
          <w:szCs w:val="24"/>
        </w:rPr>
        <w:t xml:space="preserve">focuses on </w:t>
      </w:r>
      <w:r w:rsidR="000D4D74">
        <w:rPr>
          <w:rFonts w:ascii="Garamond" w:hAnsi="Garamond"/>
          <w:bCs/>
          <w:sz w:val="24"/>
          <w:szCs w:val="24"/>
        </w:rPr>
        <w:t xml:space="preserve">policy formation at </w:t>
      </w:r>
      <w:r w:rsidR="00FB24A3">
        <w:rPr>
          <w:rFonts w:ascii="Garamond" w:hAnsi="Garamond"/>
          <w:bCs/>
          <w:sz w:val="24"/>
          <w:szCs w:val="24"/>
        </w:rPr>
        <w:t>regional and global levels;</w:t>
      </w:r>
      <w:r w:rsidR="00EC7AAD">
        <w:rPr>
          <w:rFonts w:ascii="Garamond" w:hAnsi="Garamond"/>
          <w:bCs/>
          <w:sz w:val="24"/>
          <w:szCs w:val="24"/>
        </w:rPr>
        <w:t xml:space="preserve"> and</w:t>
      </w:r>
      <w:r w:rsidR="00B83CB3" w:rsidRPr="00B83CB3">
        <w:rPr>
          <w:rFonts w:ascii="Garamond" w:hAnsi="Garamond"/>
          <w:bCs/>
          <w:sz w:val="24"/>
          <w:szCs w:val="24"/>
        </w:rPr>
        <w:t xml:space="preserve"> </w:t>
      </w:r>
      <w:r w:rsidR="000D4D74" w:rsidRPr="000D4D74">
        <w:rPr>
          <w:rFonts w:ascii="Garamond" w:hAnsi="Garamond"/>
          <w:bCs/>
          <w:i/>
          <w:sz w:val="24"/>
          <w:szCs w:val="24"/>
        </w:rPr>
        <w:t xml:space="preserve">Good Governance and Democratic Practice: </w:t>
      </w:r>
      <w:r w:rsidR="00B83CB3" w:rsidRPr="000D4D74">
        <w:rPr>
          <w:rFonts w:ascii="Garamond" w:hAnsi="Garamond"/>
          <w:bCs/>
          <w:i/>
          <w:sz w:val="24"/>
          <w:szCs w:val="24"/>
        </w:rPr>
        <w:t>Improving the quality of public policy form</w:t>
      </w:r>
      <w:r w:rsidR="00833192">
        <w:rPr>
          <w:rFonts w:ascii="Garamond" w:hAnsi="Garamond"/>
          <w:bCs/>
          <w:i/>
          <w:sz w:val="24"/>
          <w:szCs w:val="24"/>
        </w:rPr>
        <w:t>ul</w:t>
      </w:r>
      <w:r w:rsidR="00EC7AAD">
        <w:rPr>
          <w:rFonts w:ascii="Garamond" w:hAnsi="Garamond"/>
          <w:bCs/>
          <w:i/>
          <w:sz w:val="24"/>
          <w:szCs w:val="24"/>
        </w:rPr>
        <w:t>ation</w:t>
      </w:r>
      <w:r w:rsidR="00FB24A3">
        <w:rPr>
          <w:rFonts w:ascii="Garamond" w:hAnsi="Garamond"/>
          <w:bCs/>
          <w:sz w:val="24"/>
          <w:szCs w:val="24"/>
        </w:rPr>
        <w:t xml:space="preserve">, which </w:t>
      </w:r>
      <w:r w:rsidR="003F1C07" w:rsidRPr="003F1C07">
        <w:rPr>
          <w:rFonts w:ascii="Garamond" w:hAnsi="Garamond"/>
          <w:bCs/>
          <w:sz w:val="24"/>
          <w:szCs w:val="24"/>
        </w:rPr>
        <w:t>focuses</w:t>
      </w:r>
      <w:r w:rsidR="003F1C07">
        <w:rPr>
          <w:rFonts w:ascii="Garamond" w:hAnsi="Garamond"/>
          <w:bCs/>
          <w:sz w:val="24"/>
          <w:szCs w:val="24"/>
        </w:rPr>
        <w:t xml:space="preserve"> on </w:t>
      </w:r>
      <w:r w:rsidR="00EC7AAD">
        <w:rPr>
          <w:rFonts w:ascii="Garamond" w:hAnsi="Garamond"/>
          <w:bCs/>
          <w:sz w:val="24"/>
          <w:szCs w:val="24"/>
        </w:rPr>
        <w:t>support for efforts to</w:t>
      </w:r>
      <w:r w:rsidR="003F1C07">
        <w:rPr>
          <w:rFonts w:ascii="Garamond" w:hAnsi="Garamond"/>
          <w:bCs/>
          <w:sz w:val="24"/>
          <w:szCs w:val="24"/>
        </w:rPr>
        <w:t xml:space="preserve"> affect policy formulation at national level</w:t>
      </w:r>
      <w:r w:rsidR="00EC7AAD">
        <w:rPr>
          <w:rFonts w:ascii="Garamond" w:hAnsi="Garamond"/>
          <w:bCs/>
          <w:sz w:val="24"/>
          <w:szCs w:val="24"/>
        </w:rPr>
        <w:t>s</w:t>
      </w:r>
      <w:r w:rsidR="003F1C07">
        <w:rPr>
          <w:rFonts w:ascii="Garamond" w:hAnsi="Garamond"/>
          <w:bCs/>
          <w:sz w:val="24"/>
          <w:szCs w:val="24"/>
        </w:rPr>
        <w:t xml:space="preserve">. </w:t>
      </w:r>
      <w:r>
        <w:rPr>
          <w:rFonts w:ascii="Garamond" w:hAnsi="Garamond"/>
          <w:bCs/>
          <w:sz w:val="24"/>
          <w:szCs w:val="24"/>
        </w:rPr>
        <w:t xml:space="preserve">ESP’s strategic purpose in identifying this as a field was twofold. First, we wanted to support efforts to deepen democratic participation around national education policy formation. Second, we wanted to strengthen policy formation that supports the right </w:t>
      </w:r>
      <w:r w:rsidR="00FB24A3">
        <w:rPr>
          <w:rFonts w:ascii="Garamond" w:hAnsi="Garamond"/>
          <w:bCs/>
          <w:sz w:val="24"/>
          <w:szCs w:val="24"/>
        </w:rPr>
        <w:t xml:space="preserve">to education. </w:t>
      </w:r>
      <w:r>
        <w:rPr>
          <w:rFonts w:ascii="Garamond" w:hAnsi="Garamond"/>
          <w:bCs/>
          <w:sz w:val="24"/>
          <w:szCs w:val="24"/>
        </w:rPr>
        <w:t>For ESP this involves ideas that promote quality education in inclusive settings to ensure young people have the skills and experiences for active citizenship.</w:t>
      </w:r>
    </w:p>
    <w:p w14:paraId="49F32C13" w14:textId="4746544F" w:rsidR="00E750CC" w:rsidRPr="00574705" w:rsidRDefault="00423CE2" w:rsidP="00D205A1">
      <w:pPr>
        <w:spacing w:line="276" w:lineRule="auto"/>
        <w:rPr>
          <w:rFonts w:ascii="Garamond" w:hAnsi="Garamond"/>
          <w:bCs/>
          <w:sz w:val="24"/>
          <w:szCs w:val="24"/>
        </w:rPr>
      </w:pPr>
      <w:r>
        <w:rPr>
          <w:rFonts w:ascii="Garamond" w:hAnsi="Garamond"/>
          <w:bCs/>
          <w:sz w:val="24"/>
          <w:szCs w:val="24"/>
        </w:rPr>
        <w:t xml:space="preserve">This review </w:t>
      </w:r>
      <w:r w:rsidR="00C83F78">
        <w:rPr>
          <w:rFonts w:ascii="Garamond" w:hAnsi="Garamond"/>
          <w:bCs/>
          <w:sz w:val="24"/>
          <w:szCs w:val="24"/>
        </w:rPr>
        <w:t>focuses on the latter category and assesses</w:t>
      </w:r>
      <w:r>
        <w:rPr>
          <w:rFonts w:ascii="Garamond" w:hAnsi="Garamond"/>
          <w:bCs/>
          <w:sz w:val="24"/>
          <w:szCs w:val="24"/>
        </w:rPr>
        <w:t xml:space="preserve"> our support for organisations</w:t>
      </w:r>
      <w:r w:rsidR="00CB2BFB">
        <w:rPr>
          <w:rFonts w:ascii="Garamond" w:hAnsi="Garamond"/>
          <w:bCs/>
          <w:sz w:val="24"/>
          <w:szCs w:val="24"/>
        </w:rPr>
        <w:t xml:space="preserve"> </w:t>
      </w:r>
      <w:r w:rsidR="00DA6A02">
        <w:rPr>
          <w:rFonts w:ascii="Garamond" w:hAnsi="Garamond"/>
          <w:bCs/>
          <w:sz w:val="24"/>
          <w:szCs w:val="24"/>
        </w:rPr>
        <w:t>that s</w:t>
      </w:r>
      <w:r>
        <w:rPr>
          <w:rFonts w:ascii="Garamond" w:hAnsi="Garamond"/>
          <w:bCs/>
          <w:sz w:val="24"/>
          <w:szCs w:val="24"/>
        </w:rPr>
        <w:t>eek</w:t>
      </w:r>
      <w:r w:rsidR="00DA6A02">
        <w:rPr>
          <w:rFonts w:ascii="Garamond" w:hAnsi="Garamond"/>
          <w:bCs/>
          <w:sz w:val="24"/>
          <w:szCs w:val="24"/>
        </w:rPr>
        <w:t xml:space="preserve"> to</w:t>
      </w:r>
      <w:r w:rsidR="00D205A1">
        <w:rPr>
          <w:rFonts w:ascii="Garamond" w:hAnsi="Garamond"/>
          <w:bCs/>
          <w:sz w:val="24"/>
          <w:szCs w:val="24"/>
        </w:rPr>
        <w:t xml:space="preserve"> influence policy </w:t>
      </w:r>
      <w:r w:rsidR="00C83F78">
        <w:rPr>
          <w:rFonts w:ascii="Garamond" w:hAnsi="Garamond"/>
          <w:bCs/>
          <w:sz w:val="24"/>
          <w:szCs w:val="24"/>
        </w:rPr>
        <w:t>formation</w:t>
      </w:r>
      <w:r w:rsidR="00C83F78" w:rsidRPr="00EC7AAD">
        <w:rPr>
          <w:rFonts w:ascii="Garamond" w:hAnsi="Garamond"/>
          <w:bCs/>
          <w:sz w:val="24"/>
          <w:szCs w:val="24"/>
        </w:rPr>
        <w:t xml:space="preserve"> </w:t>
      </w:r>
      <w:r w:rsidR="00EC7AAD">
        <w:rPr>
          <w:rFonts w:ascii="Garamond" w:hAnsi="Garamond"/>
          <w:bCs/>
          <w:sz w:val="24"/>
          <w:szCs w:val="24"/>
        </w:rPr>
        <w:t>at national levels</w:t>
      </w:r>
      <w:r w:rsidR="00CB2BFB">
        <w:rPr>
          <w:rFonts w:ascii="Garamond" w:hAnsi="Garamond"/>
          <w:bCs/>
          <w:sz w:val="24"/>
          <w:szCs w:val="24"/>
        </w:rPr>
        <w:t xml:space="preserve">. Grants to organisations and processes </w:t>
      </w:r>
      <w:r w:rsidR="00DA6A02">
        <w:rPr>
          <w:rFonts w:ascii="Garamond" w:hAnsi="Garamond"/>
          <w:bCs/>
          <w:sz w:val="24"/>
          <w:szCs w:val="24"/>
        </w:rPr>
        <w:t>seeking to influence policy agendas at</w:t>
      </w:r>
      <w:r w:rsidR="00E750CC">
        <w:rPr>
          <w:rFonts w:ascii="Garamond" w:hAnsi="Garamond"/>
          <w:bCs/>
          <w:sz w:val="24"/>
          <w:szCs w:val="24"/>
        </w:rPr>
        <w:t xml:space="preserve"> regional and global levels </w:t>
      </w:r>
      <w:r w:rsidR="00CB2BFB">
        <w:rPr>
          <w:rFonts w:ascii="Garamond" w:hAnsi="Garamond"/>
          <w:bCs/>
          <w:sz w:val="24"/>
          <w:szCs w:val="24"/>
        </w:rPr>
        <w:t>can be found in the</w:t>
      </w:r>
      <w:r w:rsidR="00E750CC">
        <w:rPr>
          <w:rFonts w:ascii="Garamond" w:hAnsi="Garamond"/>
          <w:bCs/>
          <w:sz w:val="24"/>
          <w:szCs w:val="24"/>
        </w:rPr>
        <w:t xml:space="preserve"> </w:t>
      </w:r>
      <w:r w:rsidR="00CB2BFB">
        <w:rPr>
          <w:rFonts w:ascii="Garamond" w:hAnsi="Garamond"/>
          <w:bCs/>
          <w:sz w:val="24"/>
          <w:szCs w:val="24"/>
        </w:rPr>
        <w:t>list of related grants</w:t>
      </w:r>
      <w:r w:rsidR="009B0D20">
        <w:rPr>
          <w:rFonts w:ascii="Garamond" w:hAnsi="Garamond"/>
          <w:bCs/>
          <w:sz w:val="24"/>
          <w:szCs w:val="24"/>
        </w:rPr>
        <w:t xml:space="preserve"> because they have been reviewed recently and extensively</w:t>
      </w:r>
      <w:r w:rsidR="00E750CC">
        <w:rPr>
          <w:rFonts w:ascii="Garamond" w:hAnsi="Garamond"/>
          <w:bCs/>
          <w:sz w:val="24"/>
          <w:szCs w:val="24"/>
        </w:rPr>
        <w:t xml:space="preserve">. </w:t>
      </w:r>
      <w:r w:rsidR="009B0D20">
        <w:rPr>
          <w:rFonts w:ascii="Garamond" w:hAnsi="Garamond"/>
          <w:bCs/>
          <w:sz w:val="24"/>
          <w:szCs w:val="24"/>
        </w:rPr>
        <w:t>T</w:t>
      </w:r>
      <w:r w:rsidR="008A3DDA">
        <w:rPr>
          <w:rFonts w:ascii="Garamond" w:hAnsi="Garamond"/>
          <w:bCs/>
          <w:sz w:val="24"/>
          <w:szCs w:val="24"/>
        </w:rPr>
        <w:t>he</w:t>
      </w:r>
      <w:r w:rsidR="001F3A8C">
        <w:rPr>
          <w:rFonts w:ascii="Garamond" w:hAnsi="Garamond"/>
          <w:bCs/>
          <w:sz w:val="24"/>
          <w:szCs w:val="24"/>
        </w:rPr>
        <w:t xml:space="preserve"> GEAB review</w:t>
      </w:r>
      <w:r w:rsidR="008A3DDA">
        <w:rPr>
          <w:rFonts w:ascii="Garamond" w:hAnsi="Garamond"/>
          <w:bCs/>
          <w:sz w:val="24"/>
          <w:szCs w:val="24"/>
        </w:rPr>
        <w:t>ed our work on</w:t>
      </w:r>
      <w:r w:rsidR="001F3A8C">
        <w:rPr>
          <w:rFonts w:ascii="Garamond" w:hAnsi="Garamond"/>
          <w:bCs/>
          <w:sz w:val="24"/>
          <w:szCs w:val="24"/>
        </w:rPr>
        <w:t xml:space="preserve"> </w:t>
      </w:r>
      <w:r w:rsidR="008A3DDA" w:rsidRPr="008A3DDA">
        <w:rPr>
          <w:rFonts w:ascii="Garamond" w:hAnsi="Garamond"/>
          <w:bCs/>
          <w:sz w:val="24"/>
          <w:szCs w:val="24"/>
          <w:u w:val="single"/>
        </w:rPr>
        <w:t xml:space="preserve">Education </w:t>
      </w:r>
      <w:r w:rsidR="00FB24A3" w:rsidRPr="008A3DDA">
        <w:rPr>
          <w:rFonts w:ascii="Garamond" w:hAnsi="Garamond"/>
          <w:bCs/>
          <w:sz w:val="24"/>
          <w:szCs w:val="24"/>
          <w:u w:val="single"/>
        </w:rPr>
        <w:t>Marketization</w:t>
      </w:r>
      <w:r w:rsidR="008A3DDA" w:rsidRPr="008A3DDA">
        <w:rPr>
          <w:rFonts w:ascii="Garamond" w:hAnsi="Garamond"/>
          <w:bCs/>
          <w:sz w:val="24"/>
          <w:szCs w:val="24"/>
          <w:u w:val="single"/>
        </w:rPr>
        <w:t xml:space="preserve"> &amp; Privatisation</w:t>
      </w:r>
      <w:r w:rsidR="008A3DDA">
        <w:rPr>
          <w:rFonts w:ascii="Garamond" w:hAnsi="Garamond"/>
          <w:bCs/>
          <w:sz w:val="24"/>
          <w:szCs w:val="24"/>
        </w:rPr>
        <w:t xml:space="preserve"> in August 2014</w:t>
      </w:r>
      <w:r w:rsidR="001F3A8C">
        <w:rPr>
          <w:rFonts w:ascii="Garamond" w:hAnsi="Garamond"/>
          <w:bCs/>
          <w:sz w:val="24"/>
          <w:szCs w:val="24"/>
        </w:rPr>
        <w:t>;</w:t>
      </w:r>
      <w:r w:rsidR="001F3A8C" w:rsidRPr="001F3A8C">
        <w:rPr>
          <w:rFonts w:ascii="Garamond" w:hAnsi="Garamond"/>
          <w:bCs/>
          <w:sz w:val="24"/>
          <w:szCs w:val="24"/>
        </w:rPr>
        <w:t xml:space="preserve"> </w:t>
      </w:r>
      <w:r w:rsidR="008A3DDA">
        <w:rPr>
          <w:rFonts w:ascii="Garamond" w:hAnsi="Garamond"/>
          <w:bCs/>
          <w:sz w:val="24"/>
          <w:szCs w:val="24"/>
        </w:rPr>
        <w:t xml:space="preserve">we reviewed </w:t>
      </w:r>
      <w:r w:rsidR="008A3DDA" w:rsidRPr="008A3DDA">
        <w:rPr>
          <w:rFonts w:ascii="Garamond" w:hAnsi="Garamond"/>
          <w:bCs/>
          <w:sz w:val="24"/>
          <w:szCs w:val="24"/>
          <w:u w:val="single"/>
        </w:rPr>
        <w:t>Engaging Multilateral Organisations, ESP’s Global-level Advocacy</w:t>
      </w:r>
      <w:r w:rsidR="008A3DDA">
        <w:rPr>
          <w:rFonts w:ascii="Garamond" w:hAnsi="Garamond"/>
          <w:bCs/>
          <w:sz w:val="24"/>
          <w:szCs w:val="24"/>
        </w:rPr>
        <w:t xml:space="preserve"> at a </w:t>
      </w:r>
      <w:r w:rsidR="00E750CC">
        <w:rPr>
          <w:rFonts w:ascii="Garamond" w:hAnsi="Garamond"/>
          <w:bCs/>
          <w:sz w:val="24"/>
          <w:szCs w:val="24"/>
        </w:rPr>
        <w:t xml:space="preserve">presidential </w:t>
      </w:r>
      <w:r w:rsidR="008A3DDA">
        <w:rPr>
          <w:rFonts w:ascii="Garamond" w:hAnsi="Garamond"/>
          <w:bCs/>
          <w:sz w:val="24"/>
          <w:szCs w:val="24"/>
        </w:rPr>
        <w:t xml:space="preserve">portfolio </w:t>
      </w:r>
      <w:r w:rsidR="00E750CC">
        <w:rPr>
          <w:rFonts w:ascii="Garamond" w:hAnsi="Garamond"/>
          <w:bCs/>
          <w:sz w:val="24"/>
          <w:szCs w:val="24"/>
        </w:rPr>
        <w:t xml:space="preserve">review </w:t>
      </w:r>
      <w:r w:rsidR="00CB2BFB">
        <w:rPr>
          <w:rFonts w:ascii="Garamond" w:hAnsi="Garamond"/>
          <w:bCs/>
          <w:sz w:val="24"/>
          <w:szCs w:val="24"/>
        </w:rPr>
        <w:t>in</w:t>
      </w:r>
      <w:r w:rsidR="008A3DDA">
        <w:rPr>
          <w:rFonts w:ascii="Garamond" w:hAnsi="Garamond"/>
          <w:bCs/>
          <w:sz w:val="24"/>
          <w:szCs w:val="24"/>
        </w:rPr>
        <w:t xml:space="preserve"> September 2014</w:t>
      </w:r>
      <w:r w:rsidR="001F3A8C">
        <w:rPr>
          <w:rFonts w:ascii="Garamond" w:hAnsi="Garamond"/>
          <w:bCs/>
          <w:sz w:val="24"/>
          <w:szCs w:val="24"/>
        </w:rPr>
        <w:t>,</w:t>
      </w:r>
      <w:r w:rsidR="00E750CC">
        <w:rPr>
          <w:rFonts w:ascii="Garamond" w:hAnsi="Garamond"/>
          <w:bCs/>
          <w:sz w:val="24"/>
          <w:szCs w:val="24"/>
        </w:rPr>
        <w:t xml:space="preserve"> and</w:t>
      </w:r>
      <w:r w:rsidR="001F3A8C">
        <w:rPr>
          <w:rFonts w:ascii="Garamond" w:hAnsi="Garamond"/>
          <w:bCs/>
          <w:sz w:val="24"/>
          <w:szCs w:val="24"/>
        </w:rPr>
        <w:t>;</w:t>
      </w:r>
      <w:r w:rsidR="00E750CC">
        <w:rPr>
          <w:rFonts w:ascii="Garamond" w:hAnsi="Garamond"/>
          <w:bCs/>
          <w:sz w:val="24"/>
          <w:szCs w:val="24"/>
        </w:rPr>
        <w:t xml:space="preserve"> </w:t>
      </w:r>
      <w:r w:rsidR="008A3DDA">
        <w:rPr>
          <w:rFonts w:ascii="Garamond" w:hAnsi="Garamond"/>
          <w:bCs/>
          <w:sz w:val="24"/>
          <w:szCs w:val="24"/>
        </w:rPr>
        <w:t>the</w:t>
      </w:r>
      <w:r w:rsidR="00E55089">
        <w:rPr>
          <w:rFonts w:ascii="Garamond" w:hAnsi="Garamond"/>
          <w:bCs/>
          <w:sz w:val="24"/>
          <w:szCs w:val="24"/>
        </w:rPr>
        <w:t xml:space="preserve"> </w:t>
      </w:r>
      <w:r w:rsidR="001F3A8C">
        <w:rPr>
          <w:rFonts w:ascii="Garamond" w:hAnsi="Garamond"/>
          <w:bCs/>
          <w:sz w:val="24"/>
          <w:szCs w:val="24"/>
        </w:rPr>
        <w:t xml:space="preserve">GEAB </w:t>
      </w:r>
      <w:r w:rsidR="00FF0C04">
        <w:rPr>
          <w:rFonts w:ascii="Garamond" w:hAnsi="Garamond"/>
          <w:bCs/>
          <w:sz w:val="24"/>
          <w:szCs w:val="24"/>
        </w:rPr>
        <w:t>r</w:t>
      </w:r>
      <w:r w:rsidR="00E55089">
        <w:rPr>
          <w:rFonts w:ascii="Garamond" w:hAnsi="Garamond"/>
          <w:bCs/>
          <w:sz w:val="24"/>
          <w:szCs w:val="24"/>
        </w:rPr>
        <w:t>eview</w:t>
      </w:r>
      <w:r w:rsidR="008A3DDA">
        <w:rPr>
          <w:rFonts w:ascii="Garamond" w:hAnsi="Garamond"/>
          <w:bCs/>
          <w:sz w:val="24"/>
          <w:szCs w:val="24"/>
        </w:rPr>
        <w:t>ed</w:t>
      </w:r>
      <w:r w:rsidR="00E55089">
        <w:rPr>
          <w:rFonts w:ascii="Garamond" w:hAnsi="Garamond"/>
          <w:bCs/>
          <w:sz w:val="24"/>
          <w:szCs w:val="24"/>
        </w:rPr>
        <w:t xml:space="preserve"> </w:t>
      </w:r>
      <w:r w:rsidR="008A3DDA" w:rsidRPr="008A3DDA">
        <w:rPr>
          <w:rFonts w:ascii="Garamond" w:hAnsi="Garamond"/>
          <w:bCs/>
          <w:sz w:val="24"/>
          <w:szCs w:val="24"/>
          <w:u w:val="single"/>
        </w:rPr>
        <w:t>ESP’s Post 2015 Engagement</w:t>
      </w:r>
      <w:r w:rsidR="008A3DDA" w:rsidRPr="008A3DDA">
        <w:rPr>
          <w:rFonts w:ascii="Garamond" w:hAnsi="Garamond"/>
          <w:bCs/>
          <w:sz w:val="24"/>
          <w:szCs w:val="24"/>
        </w:rPr>
        <w:t xml:space="preserve"> </w:t>
      </w:r>
      <w:r w:rsidR="00FF0C04">
        <w:rPr>
          <w:rFonts w:ascii="Garamond" w:hAnsi="Garamond"/>
          <w:bCs/>
          <w:sz w:val="24"/>
          <w:szCs w:val="24"/>
        </w:rPr>
        <w:t>in October</w:t>
      </w:r>
      <w:r w:rsidR="008A3DDA">
        <w:rPr>
          <w:rFonts w:ascii="Garamond" w:hAnsi="Garamond"/>
          <w:bCs/>
          <w:sz w:val="24"/>
          <w:szCs w:val="24"/>
        </w:rPr>
        <w:t xml:space="preserve"> 2015</w:t>
      </w:r>
      <w:r w:rsidR="00FF0C04">
        <w:rPr>
          <w:rFonts w:ascii="Garamond" w:hAnsi="Garamond"/>
          <w:bCs/>
          <w:sz w:val="24"/>
          <w:szCs w:val="24"/>
        </w:rPr>
        <w:t xml:space="preserve">. </w:t>
      </w:r>
      <w:r w:rsidR="008A3DDA">
        <w:rPr>
          <w:rFonts w:ascii="Garamond" w:hAnsi="Garamond"/>
          <w:bCs/>
          <w:sz w:val="24"/>
          <w:szCs w:val="24"/>
        </w:rPr>
        <w:t xml:space="preserve">ESP’s </w:t>
      </w:r>
      <w:r w:rsidR="008A3DDA" w:rsidRPr="008A3DDA">
        <w:rPr>
          <w:rFonts w:ascii="Garamond" w:hAnsi="Garamond"/>
          <w:bCs/>
          <w:sz w:val="24"/>
          <w:szCs w:val="24"/>
          <w:u w:val="single"/>
        </w:rPr>
        <w:t>Technical Assistance to the National G</w:t>
      </w:r>
      <w:r w:rsidR="00E55089" w:rsidRPr="008A3DDA">
        <w:rPr>
          <w:rFonts w:ascii="Garamond" w:hAnsi="Garamond"/>
          <w:bCs/>
          <w:sz w:val="24"/>
          <w:szCs w:val="24"/>
          <w:u w:val="single"/>
        </w:rPr>
        <w:t>overnments o</w:t>
      </w:r>
      <w:r w:rsidR="00FF0C04" w:rsidRPr="008A3DDA">
        <w:rPr>
          <w:rFonts w:ascii="Garamond" w:hAnsi="Garamond"/>
          <w:bCs/>
          <w:sz w:val="24"/>
          <w:szCs w:val="24"/>
          <w:u w:val="single"/>
        </w:rPr>
        <w:t>f Liberia, Moldova and Burma</w:t>
      </w:r>
      <w:r w:rsidR="001F3A8C">
        <w:rPr>
          <w:rFonts w:ascii="Garamond" w:hAnsi="Garamond"/>
          <w:bCs/>
          <w:sz w:val="24"/>
          <w:szCs w:val="24"/>
        </w:rPr>
        <w:t xml:space="preserve">, which are part of </w:t>
      </w:r>
      <w:r w:rsidR="00014B2D">
        <w:rPr>
          <w:rFonts w:ascii="Garamond" w:hAnsi="Garamond"/>
          <w:bCs/>
          <w:sz w:val="24"/>
          <w:szCs w:val="24"/>
        </w:rPr>
        <w:t xml:space="preserve">the </w:t>
      </w:r>
      <w:proofErr w:type="spellStart"/>
      <w:r w:rsidR="00FF0C04">
        <w:rPr>
          <w:rFonts w:ascii="Garamond" w:hAnsi="Garamond"/>
          <w:bCs/>
          <w:sz w:val="24"/>
          <w:szCs w:val="24"/>
        </w:rPr>
        <w:t>CoW</w:t>
      </w:r>
      <w:proofErr w:type="spellEnd"/>
      <w:r w:rsidR="00014B2D">
        <w:rPr>
          <w:rFonts w:ascii="Garamond" w:hAnsi="Garamond"/>
          <w:bCs/>
          <w:sz w:val="24"/>
          <w:szCs w:val="24"/>
        </w:rPr>
        <w:t xml:space="preserve"> under </w:t>
      </w:r>
      <w:r w:rsidR="00FB24A3">
        <w:rPr>
          <w:rFonts w:ascii="Garamond" w:hAnsi="Garamond"/>
          <w:bCs/>
          <w:sz w:val="24"/>
          <w:szCs w:val="24"/>
        </w:rPr>
        <w:t>review,</w:t>
      </w:r>
      <w:r w:rsidR="008A3DDA">
        <w:rPr>
          <w:rFonts w:ascii="Garamond" w:hAnsi="Garamond"/>
          <w:bCs/>
          <w:sz w:val="24"/>
          <w:szCs w:val="24"/>
        </w:rPr>
        <w:t xml:space="preserve"> </w:t>
      </w:r>
      <w:r>
        <w:rPr>
          <w:rFonts w:ascii="Garamond" w:hAnsi="Garamond"/>
          <w:bCs/>
          <w:sz w:val="24"/>
          <w:szCs w:val="24"/>
        </w:rPr>
        <w:t>was</w:t>
      </w:r>
      <w:r w:rsidR="00FF0C04">
        <w:rPr>
          <w:rFonts w:ascii="Garamond" w:hAnsi="Garamond"/>
          <w:bCs/>
          <w:sz w:val="24"/>
          <w:szCs w:val="24"/>
        </w:rPr>
        <w:t xml:space="preserve"> </w:t>
      </w:r>
      <w:r w:rsidR="00E55089">
        <w:rPr>
          <w:rFonts w:ascii="Garamond" w:hAnsi="Garamond"/>
          <w:bCs/>
          <w:sz w:val="24"/>
          <w:szCs w:val="24"/>
        </w:rPr>
        <w:t xml:space="preserve">reviewed at a meeting of the </w:t>
      </w:r>
      <w:r w:rsidR="001F3A8C">
        <w:rPr>
          <w:rFonts w:ascii="Garamond" w:hAnsi="Garamond"/>
          <w:bCs/>
          <w:sz w:val="24"/>
          <w:szCs w:val="24"/>
        </w:rPr>
        <w:t>GEAB</w:t>
      </w:r>
      <w:r w:rsidR="00D205A1">
        <w:rPr>
          <w:rFonts w:ascii="Garamond" w:hAnsi="Garamond"/>
          <w:bCs/>
          <w:sz w:val="24"/>
          <w:szCs w:val="24"/>
        </w:rPr>
        <w:t xml:space="preserve"> in</w:t>
      </w:r>
      <w:r w:rsidR="00E55089">
        <w:rPr>
          <w:rFonts w:ascii="Garamond" w:hAnsi="Garamond"/>
          <w:bCs/>
          <w:sz w:val="24"/>
          <w:szCs w:val="24"/>
        </w:rPr>
        <w:t xml:space="preserve"> March 2015</w:t>
      </w:r>
      <w:r>
        <w:rPr>
          <w:rFonts w:ascii="Garamond" w:hAnsi="Garamond"/>
          <w:bCs/>
          <w:sz w:val="24"/>
          <w:szCs w:val="24"/>
        </w:rPr>
        <w:t xml:space="preserve"> and</w:t>
      </w:r>
      <w:r w:rsidR="001F3A8C">
        <w:rPr>
          <w:rFonts w:ascii="Garamond" w:hAnsi="Garamond"/>
          <w:bCs/>
          <w:sz w:val="24"/>
          <w:szCs w:val="24"/>
        </w:rPr>
        <w:t xml:space="preserve"> </w:t>
      </w:r>
      <w:r w:rsidR="008A3DDA">
        <w:rPr>
          <w:rFonts w:ascii="Garamond" w:hAnsi="Garamond"/>
          <w:bCs/>
          <w:sz w:val="24"/>
          <w:szCs w:val="24"/>
        </w:rPr>
        <w:t>certain other grants in this portfolio were part of an earlier review by the GEAB</w:t>
      </w:r>
      <w:r w:rsidR="001F3A8C" w:rsidRPr="001F3A8C">
        <w:rPr>
          <w:rFonts w:ascii="Garamond" w:hAnsi="Garamond"/>
          <w:bCs/>
          <w:sz w:val="24"/>
          <w:szCs w:val="24"/>
        </w:rPr>
        <w:t xml:space="preserve"> </w:t>
      </w:r>
      <w:r w:rsidR="008A3DDA">
        <w:rPr>
          <w:rFonts w:ascii="Garamond" w:hAnsi="Garamond"/>
          <w:bCs/>
          <w:sz w:val="24"/>
          <w:szCs w:val="24"/>
        </w:rPr>
        <w:t xml:space="preserve">in April 2014 on </w:t>
      </w:r>
      <w:r w:rsidR="008A3DDA" w:rsidRPr="008A3DDA">
        <w:rPr>
          <w:rFonts w:ascii="Garamond" w:hAnsi="Garamond"/>
          <w:bCs/>
          <w:sz w:val="24"/>
          <w:szCs w:val="24"/>
          <w:u w:val="single"/>
        </w:rPr>
        <w:t>The Right to Education</w:t>
      </w:r>
      <w:r w:rsidR="00FB24A3">
        <w:rPr>
          <w:rFonts w:ascii="Garamond" w:hAnsi="Garamond"/>
          <w:bCs/>
          <w:sz w:val="24"/>
          <w:szCs w:val="24"/>
          <w:u w:val="single"/>
        </w:rPr>
        <w:t>.</w:t>
      </w:r>
      <w:r w:rsidR="008A3DDA" w:rsidRPr="00423CE2">
        <w:t xml:space="preserve"> </w:t>
      </w:r>
      <w:r w:rsidR="00FB24A3">
        <w:t xml:space="preserve"> </w:t>
      </w:r>
      <w:r w:rsidR="00FB24A3">
        <w:rPr>
          <w:rFonts w:ascii="Garamond" w:hAnsi="Garamond"/>
          <w:bCs/>
          <w:sz w:val="24"/>
          <w:szCs w:val="24"/>
        </w:rPr>
        <w:t>T</w:t>
      </w:r>
      <w:r w:rsidRPr="00423CE2">
        <w:rPr>
          <w:rFonts w:ascii="Garamond" w:hAnsi="Garamond"/>
          <w:bCs/>
          <w:sz w:val="24"/>
          <w:szCs w:val="24"/>
        </w:rPr>
        <w:t>hese</w:t>
      </w:r>
      <w:r w:rsidR="008A3DDA" w:rsidRPr="00423CE2">
        <w:rPr>
          <w:rFonts w:ascii="Garamond" w:hAnsi="Garamond"/>
          <w:bCs/>
          <w:sz w:val="24"/>
          <w:szCs w:val="24"/>
        </w:rPr>
        <w:t xml:space="preserve"> </w:t>
      </w:r>
      <w:r w:rsidR="00FB24A3">
        <w:rPr>
          <w:rFonts w:ascii="Garamond" w:hAnsi="Garamond"/>
          <w:bCs/>
          <w:sz w:val="24"/>
          <w:szCs w:val="24"/>
        </w:rPr>
        <w:t xml:space="preserve">grants </w:t>
      </w:r>
      <w:r w:rsidR="008A3DDA" w:rsidRPr="00423CE2">
        <w:rPr>
          <w:rFonts w:ascii="Garamond" w:hAnsi="Garamond"/>
          <w:bCs/>
          <w:sz w:val="24"/>
          <w:szCs w:val="24"/>
        </w:rPr>
        <w:t xml:space="preserve">are </w:t>
      </w:r>
      <w:r w:rsidR="00EC7AAD">
        <w:rPr>
          <w:rFonts w:ascii="Garamond" w:hAnsi="Garamond"/>
          <w:bCs/>
          <w:sz w:val="24"/>
          <w:szCs w:val="24"/>
        </w:rPr>
        <w:t>touched on or updated in this review</w:t>
      </w:r>
      <w:r w:rsidR="00E55089">
        <w:rPr>
          <w:rFonts w:ascii="Garamond" w:hAnsi="Garamond"/>
          <w:bCs/>
          <w:sz w:val="24"/>
          <w:szCs w:val="24"/>
        </w:rPr>
        <w:t>.</w:t>
      </w:r>
      <w:r w:rsidR="00574705">
        <w:rPr>
          <w:rFonts w:ascii="Garamond" w:hAnsi="Garamond"/>
          <w:bCs/>
          <w:sz w:val="24"/>
          <w:szCs w:val="24"/>
        </w:rPr>
        <w:t xml:space="preserve">  We should also note that components of the work of some of the grantees in this portfolio were incorporated in our March 2014 Presidential review on </w:t>
      </w:r>
      <w:r w:rsidR="00574705" w:rsidRPr="00FB24A3">
        <w:rPr>
          <w:rFonts w:ascii="Garamond" w:hAnsi="Garamond"/>
          <w:sz w:val="24"/>
          <w:szCs w:val="24"/>
          <w:u w:val="single"/>
        </w:rPr>
        <w:t>Grassroots Organising and Social Mobilization Orientation in ESP’s Work</w:t>
      </w:r>
      <w:r w:rsidR="00574705" w:rsidRPr="00D92ADC">
        <w:rPr>
          <w:rFonts w:ascii="Garamond" w:hAnsi="Garamond"/>
          <w:sz w:val="24"/>
          <w:szCs w:val="24"/>
        </w:rPr>
        <w:t>.</w:t>
      </w:r>
    </w:p>
    <w:p w14:paraId="2E5606CF" w14:textId="2E9E9B40" w:rsidR="001D5A03" w:rsidRPr="00065841" w:rsidRDefault="00286B32">
      <w:pPr>
        <w:rPr>
          <w:b/>
          <w:color w:val="4F81BD" w:themeColor="accent1"/>
          <w:sz w:val="24"/>
          <w:szCs w:val="24"/>
        </w:rPr>
      </w:pPr>
      <w:r w:rsidRPr="00065841">
        <w:rPr>
          <w:b/>
          <w:color w:val="4F81BD" w:themeColor="accent1"/>
          <w:sz w:val="24"/>
          <w:szCs w:val="24"/>
        </w:rPr>
        <w:t>Placing the Portfolio</w:t>
      </w:r>
      <w:r w:rsidR="00C86C65">
        <w:rPr>
          <w:b/>
          <w:color w:val="4F81BD" w:themeColor="accent1"/>
          <w:sz w:val="24"/>
          <w:szCs w:val="24"/>
        </w:rPr>
        <w:t xml:space="preserve"> Review </w:t>
      </w:r>
      <w:r w:rsidRPr="00065841">
        <w:rPr>
          <w:b/>
          <w:color w:val="4F81BD" w:themeColor="accent1"/>
          <w:sz w:val="24"/>
          <w:szCs w:val="24"/>
        </w:rPr>
        <w:t>in Its Wider Context</w:t>
      </w:r>
    </w:p>
    <w:p w14:paraId="6F5BEBC1" w14:textId="0A8D8186" w:rsidR="00FE74A4" w:rsidRDefault="00833192" w:rsidP="00C86C65">
      <w:pPr>
        <w:spacing w:line="276" w:lineRule="auto"/>
        <w:rPr>
          <w:rFonts w:ascii="Garamond" w:hAnsi="Garamond"/>
          <w:bCs/>
          <w:sz w:val="24"/>
          <w:szCs w:val="24"/>
        </w:rPr>
      </w:pPr>
      <w:r>
        <w:rPr>
          <w:rFonts w:ascii="Garamond" w:hAnsi="Garamond"/>
          <w:bCs/>
          <w:sz w:val="24"/>
          <w:szCs w:val="24"/>
        </w:rPr>
        <w:t xml:space="preserve">A sense of crises and contestation around public </w:t>
      </w:r>
      <w:r w:rsidR="00710AB0">
        <w:rPr>
          <w:rFonts w:ascii="Garamond" w:hAnsi="Garamond"/>
          <w:bCs/>
          <w:sz w:val="24"/>
          <w:szCs w:val="24"/>
        </w:rPr>
        <w:t xml:space="preserve">services and </w:t>
      </w:r>
      <w:r>
        <w:rPr>
          <w:rFonts w:ascii="Garamond" w:hAnsi="Garamond"/>
          <w:bCs/>
          <w:sz w:val="24"/>
          <w:szCs w:val="24"/>
        </w:rPr>
        <w:t xml:space="preserve">policy is not unusual, nor is it unique to education. </w:t>
      </w:r>
      <w:r w:rsidR="00710AB0">
        <w:rPr>
          <w:rFonts w:ascii="Garamond" w:hAnsi="Garamond"/>
          <w:bCs/>
          <w:sz w:val="24"/>
          <w:szCs w:val="24"/>
        </w:rPr>
        <w:t xml:space="preserve">There </w:t>
      </w:r>
      <w:r w:rsidR="00D21B9A">
        <w:rPr>
          <w:rFonts w:ascii="Garamond" w:hAnsi="Garamond"/>
          <w:bCs/>
          <w:sz w:val="24"/>
          <w:szCs w:val="24"/>
        </w:rPr>
        <w:t xml:space="preserve">are perhaps three </w:t>
      </w:r>
      <w:r w:rsidR="00710AB0">
        <w:rPr>
          <w:rFonts w:ascii="Garamond" w:hAnsi="Garamond"/>
          <w:bCs/>
          <w:sz w:val="24"/>
          <w:szCs w:val="24"/>
        </w:rPr>
        <w:t xml:space="preserve">challenges around which national </w:t>
      </w:r>
      <w:r w:rsidR="00D21B9A">
        <w:rPr>
          <w:rFonts w:ascii="Garamond" w:hAnsi="Garamond"/>
          <w:bCs/>
          <w:sz w:val="24"/>
          <w:szCs w:val="24"/>
        </w:rPr>
        <w:t xml:space="preserve">education policy </w:t>
      </w:r>
      <w:r w:rsidR="00710AB0">
        <w:rPr>
          <w:rFonts w:ascii="Garamond" w:hAnsi="Garamond"/>
          <w:bCs/>
          <w:sz w:val="24"/>
          <w:szCs w:val="24"/>
        </w:rPr>
        <w:t>struggles coalesce. The first arises from constrained reso</w:t>
      </w:r>
      <w:r w:rsidR="00D21B9A">
        <w:rPr>
          <w:rFonts w:ascii="Garamond" w:hAnsi="Garamond"/>
          <w:bCs/>
          <w:sz w:val="24"/>
          <w:szCs w:val="24"/>
        </w:rPr>
        <w:t>urces and shifting demographics;</w:t>
      </w:r>
      <w:r w:rsidR="00710AB0">
        <w:rPr>
          <w:rFonts w:ascii="Garamond" w:hAnsi="Garamond"/>
          <w:bCs/>
          <w:sz w:val="24"/>
          <w:szCs w:val="24"/>
        </w:rPr>
        <w:t xml:space="preserve"> this </w:t>
      </w:r>
      <w:r w:rsidR="00581DC7">
        <w:rPr>
          <w:rFonts w:ascii="Garamond" w:hAnsi="Garamond"/>
          <w:bCs/>
          <w:sz w:val="24"/>
          <w:szCs w:val="24"/>
        </w:rPr>
        <w:t>typically leave</w:t>
      </w:r>
      <w:r w:rsidR="00E56538">
        <w:rPr>
          <w:rFonts w:ascii="Garamond" w:hAnsi="Garamond"/>
          <w:bCs/>
          <w:sz w:val="24"/>
          <w:szCs w:val="24"/>
        </w:rPr>
        <w:t>s</w:t>
      </w:r>
      <w:r w:rsidR="00581DC7">
        <w:rPr>
          <w:rFonts w:ascii="Garamond" w:hAnsi="Garamond"/>
          <w:bCs/>
          <w:sz w:val="24"/>
          <w:szCs w:val="24"/>
        </w:rPr>
        <w:t xml:space="preserve"> </w:t>
      </w:r>
      <w:r w:rsidR="00710AB0">
        <w:rPr>
          <w:rFonts w:ascii="Garamond" w:hAnsi="Garamond"/>
          <w:bCs/>
          <w:sz w:val="24"/>
          <w:szCs w:val="24"/>
        </w:rPr>
        <w:t>little money</w:t>
      </w:r>
      <w:r w:rsidR="00581DC7">
        <w:rPr>
          <w:rFonts w:ascii="Garamond" w:hAnsi="Garamond"/>
          <w:bCs/>
          <w:sz w:val="24"/>
          <w:szCs w:val="24"/>
        </w:rPr>
        <w:t xml:space="preserve"> for adequate maintenance with</w:t>
      </w:r>
      <w:r w:rsidR="00E82253">
        <w:rPr>
          <w:rFonts w:ascii="Garamond" w:hAnsi="Garamond"/>
          <w:bCs/>
          <w:sz w:val="24"/>
          <w:szCs w:val="24"/>
        </w:rPr>
        <w:t xml:space="preserve">in </w:t>
      </w:r>
      <w:r w:rsidR="00D21B9A">
        <w:rPr>
          <w:rFonts w:ascii="Garamond" w:hAnsi="Garamond"/>
          <w:bCs/>
          <w:sz w:val="24"/>
          <w:szCs w:val="24"/>
        </w:rPr>
        <w:t xml:space="preserve">education </w:t>
      </w:r>
      <w:r w:rsidR="00581DC7">
        <w:rPr>
          <w:rFonts w:ascii="Garamond" w:hAnsi="Garamond"/>
          <w:bCs/>
          <w:sz w:val="24"/>
          <w:szCs w:val="24"/>
        </w:rPr>
        <w:t>system</w:t>
      </w:r>
      <w:r w:rsidR="00E82253">
        <w:rPr>
          <w:rFonts w:ascii="Garamond" w:hAnsi="Garamond"/>
          <w:bCs/>
          <w:sz w:val="24"/>
          <w:szCs w:val="24"/>
        </w:rPr>
        <w:t>s</w:t>
      </w:r>
      <w:r w:rsidR="00581DC7">
        <w:rPr>
          <w:rFonts w:ascii="Garamond" w:hAnsi="Garamond"/>
          <w:bCs/>
          <w:sz w:val="24"/>
          <w:szCs w:val="24"/>
        </w:rPr>
        <w:t xml:space="preserve">, </w:t>
      </w:r>
      <w:r w:rsidR="00E56538">
        <w:rPr>
          <w:rFonts w:ascii="Garamond" w:hAnsi="Garamond"/>
          <w:bCs/>
          <w:sz w:val="24"/>
          <w:szCs w:val="24"/>
        </w:rPr>
        <w:t>for</w:t>
      </w:r>
      <w:r w:rsidR="00581DC7">
        <w:rPr>
          <w:rFonts w:ascii="Garamond" w:hAnsi="Garamond"/>
          <w:bCs/>
          <w:sz w:val="24"/>
          <w:szCs w:val="24"/>
        </w:rPr>
        <w:t xml:space="preserve"> invest</w:t>
      </w:r>
      <w:r w:rsidR="00E56538">
        <w:rPr>
          <w:rFonts w:ascii="Garamond" w:hAnsi="Garamond"/>
          <w:bCs/>
          <w:sz w:val="24"/>
          <w:szCs w:val="24"/>
        </w:rPr>
        <w:t>ing</w:t>
      </w:r>
      <w:r w:rsidR="00581DC7">
        <w:rPr>
          <w:rFonts w:ascii="Garamond" w:hAnsi="Garamond"/>
          <w:bCs/>
          <w:sz w:val="24"/>
          <w:szCs w:val="24"/>
        </w:rPr>
        <w:t xml:space="preserve"> and </w:t>
      </w:r>
      <w:r w:rsidR="00E56538">
        <w:rPr>
          <w:rFonts w:ascii="Garamond" w:hAnsi="Garamond"/>
          <w:bCs/>
          <w:sz w:val="24"/>
          <w:szCs w:val="24"/>
        </w:rPr>
        <w:t xml:space="preserve">preparing </w:t>
      </w:r>
      <w:r w:rsidR="00581DC7">
        <w:rPr>
          <w:rFonts w:ascii="Garamond" w:hAnsi="Garamond"/>
          <w:bCs/>
          <w:sz w:val="24"/>
          <w:szCs w:val="24"/>
        </w:rPr>
        <w:t>for</w:t>
      </w:r>
      <w:r w:rsidR="00D37D8B">
        <w:rPr>
          <w:rFonts w:ascii="Garamond" w:hAnsi="Garamond"/>
          <w:bCs/>
          <w:sz w:val="24"/>
          <w:szCs w:val="24"/>
        </w:rPr>
        <w:t xml:space="preserve"> the long</w:t>
      </w:r>
      <w:r w:rsidR="00581DC7">
        <w:rPr>
          <w:rFonts w:ascii="Garamond" w:hAnsi="Garamond"/>
          <w:bCs/>
          <w:sz w:val="24"/>
          <w:szCs w:val="24"/>
        </w:rPr>
        <w:t xml:space="preserve"> term, or respond</w:t>
      </w:r>
      <w:r w:rsidR="00E56538">
        <w:rPr>
          <w:rFonts w:ascii="Garamond" w:hAnsi="Garamond"/>
          <w:bCs/>
          <w:sz w:val="24"/>
          <w:szCs w:val="24"/>
        </w:rPr>
        <w:t>ing</w:t>
      </w:r>
      <w:r w:rsidR="00581DC7">
        <w:rPr>
          <w:rFonts w:ascii="Garamond" w:hAnsi="Garamond"/>
          <w:bCs/>
          <w:sz w:val="24"/>
          <w:szCs w:val="24"/>
        </w:rPr>
        <w:t xml:space="preserve"> to the </w:t>
      </w:r>
      <w:r w:rsidR="00D37D8B">
        <w:rPr>
          <w:rFonts w:ascii="Garamond" w:hAnsi="Garamond"/>
          <w:bCs/>
          <w:sz w:val="24"/>
          <w:szCs w:val="24"/>
        </w:rPr>
        <w:t xml:space="preserve">demands of </w:t>
      </w:r>
      <w:r w:rsidR="00581DC7">
        <w:rPr>
          <w:rFonts w:ascii="Garamond" w:hAnsi="Garamond"/>
          <w:bCs/>
          <w:sz w:val="24"/>
          <w:szCs w:val="24"/>
        </w:rPr>
        <w:t>changing context</w:t>
      </w:r>
      <w:r w:rsidR="00D37D8B">
        <w:rPr>
          <w:rFonts w:ascii="Garamond" w:hAnsi="Garamond"/>
          <w:bCs/>
          <w:sz w:val="24"/>
          <w:szCs w:val="24"/>
        </w:rPr>
        <w:t>s</w:t>
      </w:r>
      <w:r w:rsidR="00B72A51">
        <w:rPr>
          <w:rFonts w:ascii="Garamond" w:hAnsi="Garamond"/>
          <w:bCs/>
          <w:sz w:val="24"/>
          <w:szCs w:val="24"/>
        </w:rPr>
        <w:t>.</w:t>
      </w:r>
      <w:r w:rsidR="00581DC7">
        <w:rPr>
          <w:rFonts w:ascii="Garamond" w:hAnsi="Garamond"/>
          <w:bCs/>
          <w:sz w:val="24"/>
          <w:szCs w:val="24"/>
        </w:rPr>
        <w:t xml:space="preserve"> </w:t>
      </w:r>
      <w:r w:rsidR="00E82253">
        <w:rPr>
          <w:rFonts w:ascii="Garamond" w:hAnsi="Garamond"/>
          <w:bCs/>
          <w:sz w:val="24"/>
          <w:szCs w:val="24"/>
        </w:rPr>
        <w:t>Donors, even if they are relatively small, obtain significant leverage with ‘free money’ that can be used more flexibly.</w:t>
      </w:r>
      <w:r w:rsidR="00E82253" w:rsidRPr="00B72A51">
        <w:rPr>
          <w:rFonts w:ascii="Garamond" w:hAnsi="Garamond"/>
          <w:bCs/>
          <w:sz w:val="24"/>
          <w:szCs w:val="24"/>
        </w:rPr>
        <w:t xml:space="preserve"> </w:t>
      </w:r>
      <w:r w:rsidR="00E82253">
        <w:rPr>
          <w:rFonts w:ascii="Garamond" w:hAnsi="Garamond"/>
          <w:bCs/>
          <w:sz w:val="24"/>
          <w:szCs w:val="24"/>
        </w:rPr>
        <w:t>T</w:t>
      </w:r>
      <w:r w:rsidR="00710AB0">
        <w:rPr>
          <w:rFonts w:ascii="Garamond" w:hAnsi="Garamond"/>
          <w:bCs/>
          <w:sz w:val="24"/>
          <w:szCs w:val="24"/>
        </w:rPr>
        <w:t xml:space="preserve">he second </w:t>
      </w:r>
      <w:r w:rsidR="00B800F5">
        <w:rPr>
          <w:rFonts w:ascii="Garamond" w:hAnsi="Garamond"/>
          <w:bCs/>
          <w:sz w:val="24"/>
          <w:szCs w:val="24"/>
        </w:rPr>
        <w:t>arises</w:t>
      </w:r>
      <w:r w:rsidR="00CD329C">
        <w:rPr>
          <w:rFonts w:ascii="Garamond" w:hAnsi="Garamond"/>
          <w:bCs/>
          <w:sz w:val="24"/>
          <w:szCs w:val="24"/>
        </w:rPr>
        <w:t xml:space="preserve"> where there are </w:t>
      </w:r>
      <w:r w:rsidR="00E723A2">
        <w:rPr>
          <w:rFonts w:ascii="Garamond" w:hAnsi="Garamond"/>
          <w:bCs/>
          <w:sz w:val="24"/>
          <w:szCs w:val="24"/>
        </w:rPr>
        <w:t>growing disparities</w:t>
      </w:r>
      <w:r w:rsidR="00D21B9A">
        <w:rPr>
          <w:rFonts w:ascii="Garamond" w:hAnsi="Garamond"/>
          <w:bCs/>
          <w:sz w:val="24"/>
          <w:szCs w:val="24"/>
        </w:rPr>
        <w:t xml:space="preserve"> </w:t>
      </w:r>
      <w:r w:rsidR="00E723A2">
        <w:rPr>
          <w:rFonts w:ascii="Garamond" w:hAnsi="Garamond"/>
          <w:bCs/>
          <w:sz w:val="24"/>
          <w:szCs w:val="24"/>
        </w:rPr>
        <w:t>i</w:t>
      </w:r>
      <w:r w:rsidR="00D21B9A">
        <w:rPr>
          <w:rFonts w:ascii="Garamond" w:hAnsi="Garamond"/>
          <w:bCs/>
          <w:sz w:val="24"/>
          <w:szCs w:val="24"/>
        </w:rPr>
        <w:t xml:space="preserve">n </w:t>
      </w:r>
      <w:r w:rsidR="00D37D8B">
        <w:rPr>
          <w:rFonts w:ascii="Garamond" w:hAnsi="Garamond"/>
          <w:bCs/>
          <w:sz w:val="24"/>
          <w:szCs w:val="24"/>
        </w:rPr>
        <w:t xml:space="preserve">education </w:t>
      </w:r>
      <w:r w:rsidR="00B800F5">
        <w:rPr>
          <w:rFonts w:ascii="Garamond" w:hAnsi="Garamond"/>
          <w:bCs/>
          <w:sz w:val="24"/>
          <w:szCs w:val="24"/>
        </w:rPr>
        <w:t>provision</w:t>
      </w:r>
      <w:r w:rsidR="00E82253">
        <w:rPr>
          <w:rFonts w:ascii="Garamond" w:hAnsi="Garamond"/>
          <w:bCs/>
          <w:sz w:val="24"/>
          <w:szCs w:val="24"/>
        </w:rPr>
        <w:t xml:space="preserve">; this </w:t>
      </w:r>
      <w:r w:rsidR="00952A8A">
        <w:rPr>
          <w:rFonts w:ascii="Garamond" w:hAnsi="Garamond"/>
          <w:bCs/>
          <w:sz w:val="24"/>
          <w:szCs w:val="24"/>
        </w:rPr>
        <w:t>can be</w:t>
      </w:r>
      <w:r w:rsidR="00410C25">
        <w:rPr>
          <w:rFonts w:ascii="Garamond" w:hAnsi="Garamond"/>
          <w:bCs/>
          <w:sz w:val="24"/>
          <w:szCs w:val="24"/>
        </w:rPr>
        <w:t xml:space="preserve"> </w:t>
      </w:r>
      <w:r w:rsidR="00D21B9A">
        <w:rPr>
          <w:rFonts w:ascii="Garamond" w:hAnsi="Garamond"/>
          <w:bCs/>
          <w:sz w:val="24"/>
          <w:szCs w:val="24"/>
        </w:rPr>
        <w:t>a consequence</w:t>
      </w:r>
      <w:r w:rsidR="00D37D8B">
        <w:rPr>
          <w:rFonts w:ascii="Garamond" w:hAnsi="Garamond"/>
          <w:bCs/>
          <w:sz w:val="24"/>
          <w:szCs w:val="24"/>
        </w:rPr>
        <w:t xml:space="preserve"> of</w:t>
      </w:r>
      <w:r w:rsidR="00D21B9A">
        <w:rPr>
          <w:rFonts w:ascii="Garamond" w:hAnsi="Garamond"/>
          <w:bCs/>
          <w:sz w:val="24"/>
          <w:szCs w:val="24"/>
        </w:rPr>
        <w:t xml:space="preserve"> limited finance</w:t>
      </w:r>
      <w:r w:rsidR="00E723A2">
        <w:rPr>
          <w:rFonts w:ascii="Garamond" w:hAnsi="Garamond"/>
          <w:bCs/>
          <w:sz w:val="24"/>
          <w:szCs w:val="24"/>
        </w:rPr>
        <w:t>s</w:t>
      </w:r>
      <w:r w:rsidR="00952A8A">
        <w:rPr>
          <w:rFonts w:ascii="Garamond" w:hAnsi="Garamond"/>
          <w:bCs/>
          <w:sz w:val="24"/>
          <w:szCs w:val="24"/>
        </w:rPr>
        <w:t xml:space="preserve">, is typically </w:t>
      </w:r>
      <w:r w:rsidR="00AA23CF">
        <w:rPr>
          <w:rFonts w:ascii="Garamond" w:hAnsi="Garamond"/>
          <w:bCs/>
          <w:sz w:val="24"/>
          <w:szCs w:val="24"/>
        </w:rPr>
        <w:t xml:space="preserve">compounded by </w:t>
      </w:r>
      <w:r w:rsidR="00E723A2">
        <w:rPr>
          <w:rFonts w:ascii="Garamond" w:hAnsi="Garamond"/>
          <w:bCs/>
          <w:sz w:val="24"/>
          <w:szCs w:val="24"/>
        </w:rPr>
        <w:t xml:space="preserve">poor </w:t>
      </w:r>
      <w:r w:rsidR="00D21B9A">
        <w:rPr>
          <w:rFonts w:ascii="Garamond" w:hAnsi="Garamond"/>
          <w:bCs/>
          <w:sz w:val="24"/>
          <w:szCs w:val="24"/>
        </w:rPr>
        <w:t xml:space="preserve">political leadership, inept planning </w:t>
      </w:r>
      <w:r w:rsidR="00CD329C">
        <w:rPr>
          <w:rFonts w:ascii="Garamond" w:hAnsi="Garamond"/>
          <w:bCs/>
          <w:sz w:val="24"/>
          <w:szCs w:val="24"/>
        </w:rPr>
        <w:t xml:space="preserve">and </w:t>
      </w:r>
      <w:r w:rsidR="00410C25">
        <w:rPr>
          <w:rFonts w:ascii="Garamond" w:hAnsi="Garamond"/>
          <w:bCs/>
          <w:sz w:val="24"/>
          <w:szCs w:val="24"/>
        </w:rPr>
        <w:t xml:space="preserve">bad </w:t>
      </w:r>
      <w:r w:rsidR="00CD329C">
        <w:rPr>
          <w:rFonts w:ascii="Garamond" w:hAnsi="Garamond"/>
          <w:bCs/>
          <w:sz w:val="24"/>
          <w:szCs w:val="24"/>
        </w:rPr>
        <w:t>management</w:t>
      </w:r>
      <w:r w:rsidR="00952A8A">
        <w:rPr>
          <w:rFonts w:ascii="Garamond" w:hAnsi="Garamond"/>
          <w:bCs/>
          <w:sz w:val="24"/>
          <w:szCs w:val="24"/>
        </w:rPr>
        <w:t xml:space="preserve">, or </w:t>
      </w:r>
      <w:r w:rsidR="00AA23CF">
        <w:rPr>
          <w:rFonts w:ascii="Garamond" w:hAnsi="Garamond"/>
          <w:bCs/>
          <w:sz w:val="24"/>
          <w:szCs w:val="24"/>
        </w:rPr>
        <w:t>may be</w:t>
      </w:r>
      <w:r w:rsidR="00952A8A">
        <w:rPr>
          <w:rFonts w:ascii="Garamond" w:hAnsi="Garamond"/>
          <w:bCs/>
          <w:sz w:val="24"/>
          <w:szCs w:val="24"/>
        </w:rPr>
        <w:t xml:space="preserve"> the result of deliberate discrimination</w:t>
      </w:r>
      <w:r w:rsidR="00410C25">
        <w:rPr>
          <w:rFonts w:ascii="Garamond" w:hAnsi="Garamond"/>
          <w:bCs/>
          <w:sz w:val="24"/>
          <w:szCs w:val="24"/>
        </w:rPr>
        <w:t xml:space="preserve">. </w:t>
      </w:r>
      <w:r w:rsidR="00E82253">
        <w:rPr>
          <w:rFonts w:ascii="Garamond" w:hAnsi="Garamond"/>
          <w:bCs/>
          <w:sz w:val="24"/>
          <w:szCs w:val="24"/>
        </w:rPr>
        <w:t xml:space="preserve">Systemic weaknesses </w:t>
      </w:r>
      <w:r w:rsidR="00952A8A">
        <w:rPr>
          <w:rFonts w:ascii="Garamond" w:hAnsi="Garamond"/>
          <w:bCs/>
          <w:sz w:val="24"/>
          <w:szCs w:val="24"/>
        </w:rPr>
        <w:t xml:space="preserve">also </w:t>
      </w:r>
      <w:r w:rsidR="00E82253">
        <w:rPr>
          <w:rFonts w:ascii="Garamond" w:hAnsi="Garamond"/>
          <w:bCs/>
          <w:sz w:val="24"/>
          <w:szCs w:val="24"/>
        </w:rPr>
        <w:t>lead to increasing segregation as wealthier families opt out of public education in favour of private provision. The</w:t>
      </w:r>
      <w:r w:rsidR="00E85D61">
        <w:rPr>
          <w:rFonts w:ascii="Garamond" w:hAnsi="Garamond"/>
          <w:bCs/>
          <w:sz w:val="24"/>
          <w:szCs w:val="24"/>
        </w:rPr>
        <w:t xml:space="preserve"> third </w:t>
      </w:r>
      <w:r w:rsidR="006F1B05">
        <w:rPr>
          <w:rFonts w:ascii="Garamond" w:hAnsi="Garamond"/>
          <w:bCs/>
          <w:sz w:val="24"/>
          <w:szCs w:val="24"/>
        </w:rPr>
        <w:t xml:space="preserve">site of </w:t>
      </w:r>
      <w:r w:rsidR="00E82253">
        <w:rPr>
          <w:rFonts w:ascii="Garamond" w:hAnsi="Garamond"/>
          <w:bCs/>
          <w:sz w:val="24"/>
          <w:szCs w:val="24"/>
        </w:rPr>
        <w:t xml:space="preserve">policy </w:t>
      </w:r>
      <w:r w:rsidR="006F1B05">
        <w:rPr>
          <w:rFonts w:ascii="Garamond" w:hAnsi="Garamond"/>
          <w:bCs/>
          <w:sz w:val="24"/>
          <w:szCs w:val="24"/>
        </w:rPr>
        <w:t xml:space="preserve">struggle </w:t>
      </w:r>
      <w:r w:rsidR="00E82253">
        <w:rPr>
          <w:rFonts w:ascii="Garamond" w:hAnsi="Garamond"/>
          <w:bCs/>
          <w:sz w:val="24"/>
          <w:szCs w:val="24"/>
        </w:rPr>
        <w:t>is</w:t>
      </w:r>
      <w:r w:rsidR="006F1B05">
        <w:rPr>
          <w:rFonts w:ascii="Garamond" w:hAnsi="Garamond"/>
          <w:bCs/>
          <w:sz w:val="24"/>
          <w:szCs w:val="24"/>
        </w:rPr>
        <w:t xml:space="preserve"> </w:t>
      </w:r>
      <w:r w:rsidR="00AA23CF">
        <w:rPr>
          <w:rFonts w:ascii="Garamond" w:hAnsi="Garamond"/>
          <w:bCs/>
          <w:sz w:val="24"/>
          <w:szCs w:val="24"/>
        </w:rPr>
        <w:t xml:space="preserve">precipitated by </w:t>
      </w:r>
      <w:r w:rsidR="00D37D8B">
        <w:rPr>
          <w:rFonts w:ascii="Garamond" w:hAnsi="Garamond"/>
          <w:bCs/>
          <w:sz w:val="24"/>
          <w:szCs w:val="24"/>
        </w:rPr>
        <w:t xml:space="preserve">preferred </w:t>
      </w:r>
      <w:r w:rsidR="00E85D61">
        <w:rPr>
          <w:rFonts w:ascii="Garamond" w:hAnsi="Garamond"/>
          <w:bCs/>
          <w:sz w:val="24"/>
          <w:szCs w:val="24"/>
        </w:rPr>
        <w:t>solution</w:t>
      </w:r>
      <w:r w:rsidR="00AA23CF">
        <w:rPr>
          <w:rFonts w:ascii="Garamond" w:hAnsi="Garamond"/>
          <w:bCs/>
          <w:sz w:val="24"/>
          <w:szCs w:val="24"/>
        </w:rPr>
        <w:t>s</w:t>
      </w:r>
      <w:r w:rsidR="00E82253">
        <w:rPr>
          <w:rFonts w:ascii="Garamond" w:hAnsi="Garamond"/>
          <w:bCs/>
          <w:sz w:val="24"/>
          <w:szCs w:val="24"/>
        </w:rPr>
        <w:t xml:space="preserve"> to</w:t>
      </w:r>
      <w:r w:rsidR="00E85D61">
        <w:rPr>
          <w:rFonts w:ascii="Garamond" w:hAnsi="Garamond"/>
          <w:bCs/>
          <w:sz w:val="24"/>
          <w:szCs w:val="24"/>
        </w:rPr>
        <w:t xml:space="preserve"> the first two</w:t>
      </w:r>
      <w:r w:rsidR="0053219B">
        <w:rPr>
          <w:rFonts w:ascii="Garamond" w:hAnsi="Garamond"/>
          <w:bCs/>
          <w:sz w:val="24"/>
          <w:szCs w:val="24"/>
        </w:rPr>
        <w:t xml:space="preserve"> challenges</w:t>
      </w:r>
      <w:r w:rsidR="00AA23CF">
        <w:rPr>
          <w:rFonts w:ascii="Garamond" w:hAnsi="Garamond"/>
          <w:bCs/>
          <w:sz w:val="24"/>
          <w:szCs w:val="24"/>
        </w:rPr>
        <w:t>: these involve</w:t>
      </w:r>
      <w:r w:rsidR="00E82253">
        <w:rPr>
          <w:rFonts w:ascii="Garamond" w:hAnsi="Garamond"/>
          <w:bCs/>
          <w:sz w:val="24"/>
          <w:szCs w:val="24"/>
        </w:rPr>
        <w:t xml:space="preserve"> </w:t>
      </w:r>
      <w:r w:rsidR="00AA23CF">
        <w:rPr>
          <w:rFonts w:ascii="Garamond" w:hAnsi="Garamond"/>
          <w:bCs/>
          <w:sz w:val="24"/>
          <w:szCs w:val="24"/>
        </w:rPr>
        <w:t>invoking a</w:t>
      </w:r>
      <w:r w:rsidR="00D37D8B">
        <w:rPr>
          <w:rFonts w:ascii="Garamond" w:hAnsi="Garamond"/>
          <w:bCs/>
          <w:sz w:val="24"/>
          <w:szCs w:val="24"/>
        </w:rPr>
        <w:t xml:space="preserve"> </w:t>
      </w:r>
      <w:r w:rsidR="00E82253">
        <w:rPr>
          <w:rFonts w:ascii="Garamond" w:hAnsi="Garamond"/>
          <w:bCs/>
          <w:sz w:val="24"/>
          <w:szCs w:val="24"/>
        </w:rPr>
        <w:t xml:space="preserve">policy </w:t>
      </w:r>
      <w:r w:rsidR="00D37D8B">
        <w:rPr>
          <w:rFonts w:ascii="Garamond" w:hAnsi="Garamond"/>
          <w:bCs/>
          <w:sz w:val="24"/>
          <w:szCs w:val="24"/>
        </w:rPr>
        <w:t>template that</w:t>
      </w:r>
      <w:r w:rsidR="00E82253">
        <w:rPr>
          <w:rFonts w:ascii="Garamond" w:hAnsi="Garamond"/>
          <w:bCs/>
          <w:sz w:val="24"/>
          <w:szCs w:val="24"/>
        </w:rPr>
        <w:t xml:space="preserve"> </w:t>
      </w:r>
      <w:r w:rsidR="006F1B05">
        <w:rPr>
          <w:rFonts w:ascii="Garamond" w:hAnsi="Garamond"/>
          <w:bCs/>
          <w:sz w:val="24"/>
          <w:szCs w:val="24"/>
        </w:rPr>
        <w:t>emulate</w:t>
      </w:r>
      <w:r w:rsidR="00D37D8B">
        <w:rPr>
          <w:rFonts w:ascii="Garamond" w:hAnsi="Garamond"/>
          <w:bCs/>
          <w:sz w:val="24"/>
          <w:szCs w:val="24"/>
        </w:rPr>
        <w:t>s</w:t>
      </w:r>
      <w:r w:rsidR="006F1B05">
        <w:rPr>
          <w:rFonts w:ascii="Garamond" w:hAnsi="Garamond"/>
          <w:bCs/>
          <w:sz w:val="24"/>
          <w:szCs w:val="24"/>
        </w:rPr>
        <w:t xml:space="preserve"> market forces </w:t>
      </w:r>
      <w:r w:rsidR="00E82253">
        <w:rPr>
          <w:rFonts w:ascii="Garamond" w:hAnsi="Garamond"/>
          <w:bCs/>
          <w:sz w:val="24"/>
          <w:szCs w:val="24"/>
        </w:rPr>
        <w:t>in education through schools</w:t>
      </w:r>
      <w:r w:rsidR="00AA23CF" w:rsidRPr="00AA23CF">
        <w:rPr>
          <w:rFonts w:ascii="Garamond" w:hAnsi="Garamond"/>
          <w:bCs/>
          <w:sz w:val="24"/>
          <w:szCs w:val="24"/>
        </w:rPr>
        <w:t xml:space="preserve"> </w:t>
      </w:r>
      <w:r w:rsidR="00AA23CF">
        <w:rPr>
          <w:rFonts w:ascii="Garamond" w:hAnsi="Garamond"/>
          <w:bCs/>
          <w:sz w:val="24"/>
          <w:szCs w:val="24"/>
        </w:rPr>
        <w:t>rankings</w:t>
      </w:r>
      <w:r w:rsidR="00E82253">
        <w:rPr>
          <w:rFonts w:ascii="Garamond" w:hAnsi="Garamond"/>
          <w:bCs/>
          <w:sz w:val="24"/>
          <w:szCs w:val="24"/>
        </w:rPr>
        <w:t xml:space="preserve">, </w:t>
      </w:r>
      <w:r w:rsidR="00AA23CF">
        <w:rPr>
          <w:rFonts w:ascii="Garamond" w:hAnsi="Garamond"/>
          <w:bCs/>
          <w:sz w:val="24"/>
          <w:szCs w:val="24"/>
        </w:rPr>
        <w:t>high-stakes testing for students and teachers</w:t>
      </w:r>
      <w:r w:rsidR="00D37D8B">
        <w:rPr>
          <w:rFonts w:ascii="Garamond" w:hAnsi="Garamond"/>
          <w:bCs/>
          <w:sz w:val="24"/>
          <w:szCs w:val="24"/>
        </w:rPr>
        <w:t>,</w:t>
      </w:r>
      <w:r w:rsidR="00E82253">
        <w:rPr>
          <w:rFonts w:ascii="Garamond" w:hAnsi="Garamond"/>
          <w:bCs/>
          <w:sz w:val="24"/>
          <w:szCs w:val="24"/>
        </w:rPr>
        <w:t xml:space="preserve"> </w:t>
      </w:r>
      <w:r w:rsidR="00574705">
        <w:rPr>
          <w:rFonts w:ascii="Garamond" w:hAnsi="Garamond"/>
          <w:bCs/>
          <w:sz w:val="24"/>
          <w:szCs w:val="24"/>
        </w:rPr>
        <w:t xml:space="preserve">and </w:t>
      </w:r>
      <w:r w:rsidR="00AA23CF">
        <w:rPr>
          <w:rFonts w:ascii="Garamond" w:hAnsi="Garamond"/>
          <w:bCs/>
          <w:sz w:val="24"/>
          <w:szCs w:val="24"/>
        </w:rPr>
        <w:t>establishing</w:t>
      </w:r>
      <w:r w:rsidR="00E82253">
        <w:rPr>
          <w:rFonts w:ascii="Garamond" w:hAnsi="Garamond"/>
          <w:bCs/>
          <w:sz w:val="24"/>
          <w:szCs w:val="24"/>
        </w:rPr>
        <w:t xml:space="preserve"> </w:t>
      </w:r>
      <w:r w:rsidR="00D37D8B">
        <w:rPr>
          <w:rFonts w:ascii="Garamond" w:hAnsi="Garamond"/>
          <w:bCs/>
          <w:sz w:val="24"/>
          <w:szCs w:val="24"/>
        </w:rPr>
        <w:t xml:space="preserve">competition and </w:t>
      </w:r>
      <w:r w:rsidR="00E82253">
        <w:rPr>
          <w:rFonts w:ascii="Garamond" w:hAnsi="Garamond"/>
          <w:bCs/>
          <w:sz w:val="24"/>
          <w:szCs w:val="24"/>
        </w:rPr>
        <w:t xml:space="preserve">choice as </w:t>
      </w:r>
      <w:r w:rsidR="00E85D61">
        <w:rPr>
          <w:rFonts w:ascii="Garamond" w:hAnsi="Garamond"/>
          <w:bCs/>
          <w:sz w:val="24"/>
          <w:szCs w:val="24"/>
        </w:rPr>
        <w:t xml:space="preserve">the </w:t>
      </w:r>
      <w:r w:rsidR="00D37D8B">
        <w:rPr>
          <w:rFonts w:ascii="Garamond" w:hAnsi="Garamond"/>
          <w:bCs/>
          <w:sz w:val="24"/>
          <w:szCs w:val="24"/>
        </w:rPr>
        <w:t xml:space="preserve">main </w:t>
      </w:r>
      <w:r w:rsidR="00E82253">
        <w:rPr>
          <w:rFonts w:ascii="Garamond" w:hAnsi="Garamond"/>
          <w:bCs/>
          <w:sz w:val="24"/>
          <w:szCs w:val="24"/>
        </w:rPr>
        <w:t>drivers</w:t>
      </w:r>
      <w:r w:rsidR="00E85D61">
        <w:rPr>
          <w:rFonts w:ascii="Garamond" w:hAnsi="Garamond"/>
          <w:bCs/>
          <w:sz w:val="24"/>
          <w:szCs w:val="24"/>
        </w:rPr>
        <w:t xml:space="preserve"> </w:t>
      </w:r>
      <w:r w:rsidR="00AA23CF">
        <w:rPr>
          <w:rFonts w:ascii="Garamond" w:hAnsi="Garamond"/>
          <w:bCs/>
          <w:sz w:val="24"/>
          <w:szCs w:val="24"/>
        </w:rPr>
        <w:t>of education reform</w:t>
      </w:r>
      <w:r w:rsidR="00E85D61">
        <w:rPr>
          <w:rFonts w:ascii="Garamond" w:hAnsi="Garamond"/>
          <w:bCs/>
          <w:sz w:val="24"/>
          <w:szCs w:val="24"/>
        </w:rPr>
        <w:t>.</w:t>
      </w:r>
      <w:r w:rsidR="00FE74A4">
        <w:rPr>
          <w:rFonts w:ascii="Garamond" w:hAnsi="Garamond"/>
          <w:bCs/>
          <w:sz w:val="24"/>
          <w:szCs w:val="24"/>
        </w:rPr>
        <w:t xml:space="preserve"> This template is </w:t>
      </w:r>
      <w:r w:rsidR="00FE74A4">
        <w:rPr>
          <w:rFonts w:ascii="Garamond" w:hAnsi="Garamond"/>
          <w:bCs/>
          <w:sz w:val="24"/>
          <w:szCs w:val="24"/>
        </w:rPr>
        <w:lastRenderedPageBreak/>
        <w:t xml:space="preserve">part of a suite of measures </w:t>
      </w:r>
      <w:r w:rsidR="002E0C9A">
        <w:rPr>
          <w:rFonts w:ascii="Garamond" w:hAnsi="Garamond"/>
          <w:bCs/>
          <w:sz w:val="24"/>
          <w:szCs w:val="24"/>
        </w:rPr>
        <w:t xml:space="preserve">that is </w:t>
      </w:r>
      <w:r w:rsidR="00FE74A4">
        <w:rPr>
          <w:rFonts w:ascii="Garamond" w:hAnsi="Garamond"/>
          <w:bCs/>
          <w:sz w:val="24"/>
          <w:szCs w:val="24"/>
        </w:rPr>
        <w:t>vigorously promoted</w:t>
      </w:r>
      <w:r w:rsidR="00E85D61">
        <w:rPr>
          <w:rFonts w:ascii="Garamond" w:hAnsi="Garamond"/>
          <w:bCs/>
          <w:sz w:val="24"/>
          <w:szCs w:val="24"/>
        </w:rPr>
        <w:t xml:space="preserve"> </w:t>
      </w:r>
      <w:r w:rsidR="00FE74A4">
        <w:rPr>
          <w:rFonts w:ascii="Garamond" w:hAnsi="Garamond"/>
          <w:bCs/>
          <w:sz w:val="24"/>
          <w:szCs w:val="24"/>
        </w:rPr>
        <w:t>by major international institu</w:t>
      </w:r>
      <w:r w:rsidR="002E0C9A">
        <w:rPr>
          <w:rFonts w:ascii="Garamond" w:hAnsi="Garamond"/>
          <w:bCs/>
          <w:sz w:val="24"/>
          <w:szCs w:val="24"/>
        </w:rPr>
        <w:t>t</w:t>
      </w:r>
      <w:r w:rsidR="00FE74A4">
        <w:rPr>
          <w:rFonts w:ascii="Garamond" w:hAnsi="Garamond"/>
          <w:bCs/>
          <w:sz w:val="24"/>
          <w:szCs w:val="24"/>
        </w:rPr>
        <w:t>ions</w:t>
      </w:r>
      <w:r w:rsidR="002E0C9A">
        <w:rPr>
          <w:rFonts w:ascii="Garamond" w:hAnsi="Garamond"/>
          <w:bCs/>
          <w:sz w:val="24"/>
          <w:szCs w:val="24"/>
        </w:rPr>
        <w:t>, which is described by Pasi Sahlberg as the Global Education Reform Movement, or GERM.</w:t>
      </w:r>
    </w:p>
    <w:p w14:paraId="735DB041" w14:textId="0123E1AF" w:rsidR="0018606A" w:rsidRDefault="002B1A0B" w:rsidP="0018606A">
      <w:pPr>
        <w:spacing w:line="276" w:lineRule="auto"/>
        <w:rPr>
          <w:rFonts w:ascii="Garamond" w:hAnsi="Garamond"/>
          <w:bCs/>
          <w:sz w:val="24"/>
          <w:szCs w:val="24"/>
        </w:rPr>
      </w:pPr>
      <w:r>
        <w:rPr>
          <w:rFonts w:ascii="Garamond" w:hAnsi="Garamond"/>
          <w:bCs/>
          <w:sz w:val="24"/>
          <w:szCs w:val="24"/>
        </w:rPr>
        <w:t>These three challenges</w:t>
      </w:r>
      <w:r w:rsidR="002E0C9A">
        <w:rPr>
          <w:rFonts w:ascii="Garamond" w:hAnsi="Garamond"/>
          <w:bCs/>
          <w:sz w:val="24"/>
          <w:szCs w:val="24"/>
        </w:rPr>
        <w:t xml:space="preserve"> </w:t>
      </w:r>
      <w:r w:rsidR="00FE74A4">
        <w:rPr>
          <w:rFonts w:ascii="Garamond" w:hAnsi="Garamond"/>
          <w:bCs/>
          <w:sz w:val="24"/>
          <w:szCs w:val="24"/>
        </w:rPr>
        <w:t>illustrate the interconne</w:t>
      </w:r>
      <w:r>
        <w:rPr>
          <w:rFonts w:ascii="Garamond" w:hAnsi="Garamond"/>
          <w:bCs/>
          <w:sz w:val="24"/>
          <w:szCs w:val="24"/>
        </w:rPr>
        <w:t xml:space="preserve">ctedness of national and </w:t>
      </w:r>
      <w:r w:rsidR="00FE74A4">
        <w:rPr>
          <w:rFonts w:ascii="Garamond" w:hAnsi="Garamond"/>
          <w:bCs/>
          <w:sz w:val="24"/>
          <w:szCs w:val="24"/>
        </w:rPr>
        <w:t xml:space="preserve">global policy struggles, in which common themes play out in very different contexts. </w:t>
      </w:r>
      <w:r w:rsidR="002E0C9A">
        <w:rPr>
          <w:rFonts w:ascii="Garamond" w:hAnsi="Garamond"/>
          <w:bCs/>
          <w:sz w:val="24"/>
          <w:szCs w:val="24"/>
        </w:rPr>
        <w:t>The</w:t>
      </w:r>
      <w:r w:rsidR="00D37D8B">
        <w:rPr>
          <w:rFonts w:ascii="Garamond" w:hAnsi="Garamond"/>
          <w:bCs/>
          <w:sz w:val="24"/>
          <w:szCs w:val="24"/>
        </w:rPr>
        <w:t xml:space="preserve"> </w:t>
      </w:r>
      <w:r>
        <w:rPr>
          <w:rFonts w:ascii="Garamond" w:hAnsi="Garamond"/>
          <w:bCs/>
          <w:sz w:val="24"/>
          <w:szCs w:val="24"/>
        </w:rPr>
        <w:t xml:space="preserve">often </w:t>
      </w:r>
      <w:r w:rsidR="00D37D8B">
        <w:rPr>
          <w:rFonts w:ascii="Garamond" w:hAnsi="Garamond"/>
          <w:bCs/>
          <w:sz w:val="24"/>
          <w:szCs w:val="24"/>
        </w:rPr>
        <w:t>ideological, party-political nature of the education policy debate</w:t>
      </w:r>
      <w:r w:rsidR="002E0C9A">
        <w:rPr>
          <w:rFonts w:ascii="Garamond" w:hAnsi="Garamond"/>
          <w:bCs/>
          <w:sz w:val="24"/>
          <w:szCs w:val="24"/>
        </w:rPr>
        <w:t xml:space="preserve"> at national levels</w:t>
      </w:r>
      <w:r w:rsidR="00D37D8B">
        <w:rPr>
          <w:rFonts w:ascii="Garamond" w:hAnsi="Garamond"/>
          <w:bCs/>
          <w:sz w:val="24"/>
          <w:szCs w:val="24"/>
        </w:rPr>
        <w:t xml:space="preserve"> </w:t>
      </w:r>
      <w:r w:rsidR="008D23E3">
        <w:rPr>
          <w:rFonts w:ascii="Garamond" w:hAnsi="Garamond"/>
          <w:bCs/>
          <w:sz w:val="24"/>
          <w:szCs w:val="24"/>
        </w:rPr>
        <w:t>gives rise to fears that instead of evidence driving policy,</w:t>
      </w:r>
      <w:r w:rsidR="00CB156F">
        <w:rPr>
          <w:rFonts w:ascii="Garamond" w:hAnsi="Garamond"/>
          <w:bCs/>
          <w:sz w:val="24"/>
          <w:szCs w:val="24"/>
        </w:rPr>
        <w:t xml:space="preserve"> preferred</w:t>
      </w:r>
      <w:r w:rsidR="00D37D8B">
        <w:rPr>
          <w:rFonts w:ascii="Garamond" w:hAnsi="Garamond"/>
          <w:bCs/>
          <w:sz w:val="24"/>
          <w:szCs w:val="24"/>
        </w:rPr>
        <w:t xml:space="preserve"> </w:t>
      </w:r>
      <w:r w:rsidR="00CB156F">
        <w:rPr>
          <w:rFonts w:ascii="Garamond" w:hAnsi="Garamond"/>
          <w:bCs/>
          <w:sz w:val="24"/>
          <w:szCs w:val="24"/>
        </w:rPr>
        <w:t xml:space="preserve">policy </w:t>
      </w:r>
      <w:r w:rsidR="00AA23CF">
        <w:rPr>
          <w:rFonts w:ascii="Garamond" w:hAnsi="Garamond"/>
          <w:bCs/>
          <w:sz w:val="24"/>
          <w:szCs w:val="24"/>
        </w:rPr>
        <w:t>drive</w:t>
      </w:r>
      <w:r w:rsidR="008D23E3">
        <w:rPr>
          <w:rFonts w:ascii="Garamond" w:hAnsi="Garamond"/>
          <w:bCs/>
          <w:sz w:val="24"/>
          <w:szCs w:val="24"/>
        </w:rPr>
        <w:t>s</w:t>
      </w:r>
      <w:r w:rsidR="00CB156F">
        <w:rPr>
          <w:rFonts w:ascii="Garamond" w:hAnsi="Garamond"/>
          <w:bCs/>
          <w:sz w:val="24"/>
          <w:szCs w:val="24"/>
        </w:rPr>
        <w:t xml:space="preserve"> evidence</w:t>
      </w:r>
      <w:r w:rsidR="00D37D8B">
        <w:rPr>
          <w:rFonts w:ascii="Garamond" w:hAnsi="Garamond"/>
          <w:bCs/>
          <w:sz w:val="24"/>
          <w:szCs w:val="24"/>
        </w:rPr>
        <w:t xml:space="preserve">. </w:t>
      </w:r>
      <w:r w:rsidR="004B1D43">
        <w:rPr>
          <w:rFonts w:ascii="Garamond" w:hAnsi="Garamond"/>
          <w:bCs/>
          <w:sz w:val="24"/>
          <w:szCs w:val="24"/>
        </w:rPr>
        <w:t>However, i</w:t>
      </w:r>
      <w:r w:rsidR="0018606A" w:rsidRPr="001910B5">
        <w:rPr>
          <w:rFonts w:ascii="Garamond" w:hAnsi="Garamond"/>
          <w:bCs/>
          <w:sz w:val="24"/>
          <w:szCs w:val="24"/>
        </w:rPr>
        <w:t>nter</w:t>
      </w:r>
      <w:r w:rsidR="005A68F4">
        <w:rPr>
          <w:rFonts w:ascii="Garamond" w:hAnsi="Garamond"/>
          <w:bCs/>
          <w:sz w:val="24"/>
          <w:szCs w:val="24"/>
        </w:rPr>
        <w:t xml:space="preserve">national comparative assessment </w:t>
      </w:r>
      <w:r w:rsidR="004B1D43">
        <w:rPr>
          <w:rFonts w:ascii="Garamond" w:hAnsi="Garamond"/>
          <w:bCs/>
          <w:sz w:val="24"/>
          <w:szCs w:val="24"/>
        </w:rPr>
        <w:t>studies are</w:t>
      </w:r>
      <w:r w:rsidR="005A68F4">
        <w:rPr>
          <w:rFonts w:ascii="Garamond" w:hAnsi="Garamond"/>
          <w:bCs/>
          <w:sz w:val="24"/>
          <w:szCs w:val="24"/>
        </w:rPr>
        <w:t xml:space="preserve"> </w:t>
      </w:r>
      <w:r w:rsidR="0018606A">
        <w:rPr>
          <w:rFonts w:ascii="Garamond" w:hAnsi="Garamond"/>
          <w:bCs/>
          <w:sz w:val="24"/>
          <w:szCs w:val="24"/>
        </w:rPr>
        <w:t xml:space="preserve">increasingly important for national policy and have </w:t>
      </w:r>
      <w:r w:rsidR="005A68F4">
        <w:rPr>
          <w:rFonts w:ascii="Garamond" w:hAnsi="Garamond"/>
          <w:bCs/>
          <w:sz w:val="24"/>
          <w:szCs w:val="24"/>
        </w:rPr>
        <w:t>proliferated</w:t>
      </w:r>
      <w:r w:rsidR="0018606A">
        <w:rPr>
          <w:rFonts w:ascii="Garamond" w:hAnsi="Garamond"/>
          <w:bCs/>
          <w:sz w:val="24"/>
          <w:szCs w:val="24"/>
        </w:rPr>
        <w:t xml:space="preserve"> since </w:t>
      </w:r>
      <w:r w:rsidR="0018606A" w:rsidRPr="001910B5">
        <w:rPr>
          <w:rFonts w:ascii="Garamond" w:hAnsi="Garamond"/>
          <w:bCs/>
          <w:sz w:val="24"/>
          <w:szCs w:val="24"/>
        </w:rPr>
        <w:t xml:space="preserve">the </w:t>
      </w:r>
      <w:proofErr w:type="spellStart"/>
      <w:r w:rsidR="0018606A" w:rsidRPr="001910B5">
        <w:rPr>
          <w:rFonts w:ascii="Garamond" w:hAnsi="Garamond"/>
          <w:bCs/>
          <w:sz w:val="24"/>
          <w:szCs w:val="24"/>
        </w:rPr>
        <w:t>Jomtien</w:t>
      </w:r>
      <w:proofErr w:type="spellEnd"/>
      <w:r w:rsidR="0018606A" w:rsidRPr="001910B5">
        <w:rPr>
          <w:rFonts w:ascii="Garamond" w:hAnsi="Garamond"/>
          <w:bCs/>
          <w:sz w:val="24"/>
          <w:szCs w:val="24"/>
        </w:rPr>
        <w:t xml:space="preserve"> Conference on Education </w:t>
      </w:r>
      <w:proofErr w:type="gramStart"/>
      <w:r w:rsidR="0018606A" w:rsidRPr="001910B5">
        <w:rPr>
          <w:rFonts w:ascii="Garamond" w:hAnsi="Garamond"/>
          <w:bCs/>
          <w:sz w:val="24"/>
          <w:szCs w:val="24"/>
        </w:rPr>
        <w:t>For</w:t>
      </w:r>
      <w:proofErr w:type="gramEnd"/>
      <w:r w:rsidR="0018606A" w:rsidRPr="001910B5">
        <w:rPr>
          <w:rFonts w:ascii="Garamond" w:hAnsi="Garamond"/>
          <w:bCs/>
          <w:sz w:val="24"/>
          <w:szCs w:val="24"/>
        </w:rPr>
        <w:t xml:space="preserve"> All in 1990</w:t>
      </w:r>
      <w:r w:rsidR="005A68F4">
        <w:rPr>
          <w:rFonts w:ascii="Garamond" w:hAnsi="Garamond"/>
          <w:bCs/>
          <w:sz w:val="24"/>
          <w:szCs w:val="24"/>
        </w:rPr>
        <w:t>. They</w:t>
      </w:r>
      <w:r w:rsidR="0018606A">
        <w:rPr>
          <w:rFonts w:ascii="Garamond" w:hAnsi="Garamond"/>
          <w:bCs/>
          <w:sz w:val="24"/>
          <w:szCs w:val="24"/>
        </w:rPr>
        <w:t xml:space="preserve"> include</w:t>
      </w:r>
      <w:r w:rsidR="0018606A" w:rsidRPr="001910B5">
        <w:rPr>
          <w:rFonts w:ascii="Garamond" w:hAnsi="Garamond"/>
          <w:bCs/>
          <w:sz w:val="24"/>
          <w:szCs w:val="24"/>
        </w:rPr>
        <w:t xml:space="preserve"> the IEA</w:t>
      </w:r>
      <w:r w:rsidR="00AB7A29">
        <w:rPr>
          <w:rStyle w:val="FootnoteReference"/>
          <w:rFonts w:ascii="Garamond" w:hAnsi="Garamond"/>
          <w:bCs/>
          <w:sz w:val="24"/>
          <w:szCs w:val="24"/>
        </w:rPr>
        <w:footnoteReference w:id="1"/>
      </w:r>
      <w:r w:rsidR="0018606A" w:rsidRPr="001910B5">
        <w:rPr>
          <w:rFonts w:ascii="Garamond" w:hAnsi="Garamond"/>
          <w:bCs/>
          <w:sz w:val="24"/>
          <w:szCs w:val="24"/>
        </w:rPr>
        <w:t xml:space="preserve"> </w:t>
      </w:r>
      <w:r w:rsidR="005A68F4">
        <w:rPr>
          <w:rFonts w:ascii="Garamond" w:hAnsi="Garamond"/>
          <w:bCs/>
          <w:sz w:val="24"/>
          <w:szCs w:val="24"/>
        </w:rPr>
        <w:t>studies, TIMMS</w:t>
      </w:r>
      <w:r w:rsidR="0018606A" w:rsidRPr="001910B5">
        <w:rPr>
          <w:rFonts w:ascii="Garamond" w:hAnsi="Garamond"/>
          <w:bCs/>
          <w:sz w:val="24"/>
          <w:szCs w:val="24"/>
        </w:rPr>
        <w:t xml:space="preserve"> and PIRLS</w:t>
      </w:r>
      <w:r w:rsidR="005A68F4">
        <w:rPr>
          <w:rFonts w:ascii="Garamond" w:hAnsi="Garamond"/>
          <w:bCs/>
          <w:sz w:val="24"/>
          <w:szCs w:val="24"/>
        </w:rPr>
        <w:t>,</w:t>
      </w:r>
      <w:r w:rsidR="0018606A">
        <w:rPr>
          <w:rFonts w:ascii="Garamond" w:hAnsi="Garamond"/>
          <w:bCs/>
          <w:sz w:val="24"/>
          <w:szCs w:val="24"/>
        </w:rPr>
        <w:t xml:space="preserve"> the African-based </w:t>
      </w:r>
      <w:r w:rsidR="0018606A" w:rsidRPr="001910B5">
        <w:rPr>
          <w:rFonts w:ascii="Garamond" w:hAnsi="Garamond"/>
          <w:bCs/>
          <w:sz w:val="24"/>
          <w:szCs w:val="24"/>
        </w:rPr>
        <w:t xml:space="preserve">PASEC and SACMEC, </w:t>
      </w:r>
      <w:r w:rsidR="0018606A">
        <w:rPr>
          <w:rFonts w:ascii="Garamond" w:hAnsi="Garamond"/>
          <w:bCs/>
          <w:sz w:val="24"/>
          <w:szCs w:val="24"/>
        </w:rPr>
        <w:t xml:space="preserve">and </w:t>
      </w:r>
      <w:r w:rsidR="0018606A" w:rsidRPr="001910B5">
        <w:rPr>
          <w:rFonts w:ascii="Garamond" w:hAnsi="Garamond"/>
          <w:bCs/>
          <w:sz w:val="24"/>
          <w:szCs w:val="24"/>
        </w:rPr>
        <w:t>the OECD’s</w:t>
      </w:r>
      <w:r w:rsidR="0018606A">
        <w:rPr>
          <w:rFonts w:ascii="Garamond" w:hAnsi="Garamond"/>
          <w:bCs/>
          <w:sz w:val="24"/>
          <w:szCs w:val="24"/>
        </w:rPr>
        <w:t xml:space="preserve"> PISA</w:t>
      </w:r>
      <w:r w:rsidR="0018606A" w:rsidRPr="001910B5">
        <w:rPr>
          <w:rFonts w:ascii="Garamond" w:hAnsi="Garamond"/>
          <w:bCs/>
          <w:sz w:val="24"/>
          <w:szCs w:val="24"/>
        </w:rPr>
        <w:t xml:space="preserve">. </w:t>
      </w:r>
      <w:r w:rsidR="0018606A">
        <w:rPr>
          <w:rFonts w:ascii="Garamond" w:hAnsi="Garamond"/>
          <w:bCs/>
          <w:sz w:val="24"/>
          <w:szCs w:val="24"/>
        </w:rPr>
        <w:t xml:space="preserve">The World Bank, which has a portfolio </w:t>
      </w:r>
      <w:r w:rsidR="002D0DED">
        <w:rPr>
          <w:rFonts w:ascii="Garamond" w:hAnsi="Garamond"/>
          <w:bCs/>
          <w:sz w:val="24"/>
          <w:szCs w:val="24"/>
        </w:rPr>
        <w:t>of loans worth</w:t>
      </w:r>
      <w:r w:rsidR="0018606A">
        <w:rPr>
          <w:rFonts w:ascii="Garamond" w:hAnsi="Garamond"/>
          <w:bCs/>
          <w:sz w:val="24"/>
          <w:szCs w:val="24"/>
        </w:rPr>
        <w:t xml:space="preserve"> almost $9 billion, launched </w:t>
      </w:r>
      <w:r w:rsidR="00317F50">
        <w:rPr>
          <w:rFonts w:ascii="Garamond" w:hAnsi="Garamond"/>
          <w:bCs/>
          <w:sz w:val="24"/>
          <w:szCs w:val="24"/>
        </w:rPr>
        <w:t>its</w:t>
      </w:r>
      <w:r w:rsidR="00C63CED">
        <w:rPr>
          <w:rFonts w:ascii="Garamond" w:hAnsi="Garamond"/>
          <w:bCs/>
          <w:sz w:val="24"/>
          <w:szCs w:val="24"/>
        </w:rPr>
        <w:t xml:space="preserve"> SABER</w:t>
      </w:r>
      <w:r w:rsidR="0018606A">
        <w:rPr>
          <w:rFonts w:ascii="Garamond" w:hAnsi="Garamond"/>
          <w:bCs/>
          <w:sz w:val="24"/>
          <w:szCs w:val="24"/>
        </w:rPr>
        <w:t xml:space="preserve"> </w:t>
      </w:r>
      <w:r w:rsidR="00C63CED">
        <w:rPr>
          <w:rFonts w:ascii="Garamond" w:hAnsi="Garamond"/>
          <w:bCs/>
          <w:sz w:val="24"/>
          <w:szCs w:val="24"/>
        </w:rPr>
        <w:t xml:space="preserve">tool </w:t>
      </w:r>
      <w:r w:rsidR="0018606A">
        <w:rPr>
          <w:rFonts w:ascii="Garamond" w:hAnsi="Garamond"/>
          <w:bCs/>
          <w:sz w:val="24"/>
          <w:szCs w:val="24"/>
        </w:rPr>
        <w:t xml:space="preserve">in early 2014 </w:t>
      </w:r>
      <w:r w:rsidR="0018606A" w:rsidRPr="001910B5">
        <w:rPr>
          <w:rFonts w:ascii="Garamond" w:hAnsi="Garamond"/>
          <w:bCs/>
          <w:sz w:val="24"/>
          <w:szCs w:val="24"/>
        </w:rPr>
        <w:t>to produce comparative data on education policies and institutions</w:t>
      </w:r>
      <w:r w:rsidR="002D0DED">
        <w:rPr>
          <w:rFonts w:ascii="Garamond" w:hAnsi="Garamond"/>
          <w:bCs/>
          <w:sz w:val="24"/>
          <w:szCs w:val="24"/>
        </w:rPr>
        <w:t xml:space="preserve"> in over 70 countries</w:t>
      </w:r>
      <w:r w:rsidR="0018606A">
        <w:rPr>
          <w:rFonts w:ascii="Garamond" w:hAnsi="Garamond"/>
          <w:bCs/>
          <w:sz w:val="24"/>
          <w:szCs w:val="24"/>
        </w:rPr>
        <w:t xml:space="preserve">. </w:t>
      </w:r>
      <w:r w:rsidR="002D0DED">
        <w:rPr>
          <w:rFonts w:ascii="Garamond" w:hAnsi="Garamond"/>
          <w:bCs/>
          <w:sz w:val="24"/>
          <w:szCs w:val="24"/>
        </w:rPr>
        <w:t>Critics consider</w:t>
      </w:r>
      <w:r w:rsidR="00C63CED">
        <w:rPr>
          <w:rFonts w:ascii="Garamond" w:hAnsi="Garamond"/>
          <w:bCs/>
          <w:sz w:val="24"/>
          <w:szCs w:val="24"/>
        </w:rPr>
        <w:t xml:space="preserve"> that</w:t>
      </w:r>
      <w:r w:rsidR="002D0DED">
        <w:rPr>
          <w:rFonts w:ascii="Garamond" w:hAnsi="Garamond"/>
          <w:bCs/>
          <w:sz w:val="24"/>
          <w:szCs w:val="24"/>
        </w:rPr>
        <w:t xml:space="preserve"> these </w:t>
      </w:r>
      <w:r w:rsidR="00C63CED">
        <w:rPr>
          <w:rFonts w:ascii="Garamond" w:hAnsi="Garamond"/>
          <w:bCs/>
          <w:sz w:val="24"/>
          <w:szCs w:val="24"/>
        </w:rPr>
        <w:t xml:space="preserve">comparative </w:t>
      </w:r>
      <w:r w:rsidR="002D0DED">
        <w:rPr>
          <w:rFonts w:ascii="Garamond" w:hAnsi="Garamond"/>
          <w:bCs/>
          <w:sz w:val="24"/>
          <w:szCs w:val="24"/>
        </w:rPr>
        <w:t xml:space="preserve">studies </w:t>
      </w:r>
      <w:r w:rsidR="004B1D43">
        <w:rPr>
          <w:rFonts w:ascii="Garamond" w:hAnsi="Garamond"/>
          <w:bCs/>
          <w:sz w:val="24"/>
          <w:szCs w:val="24"/>
        </w:rPr>
        <w:t xml:space="preserve">consume scarce resources, do not contribute to improving outcomes, generally overlook equity and rights, and </w:t>
      </w:r>
      <w:r w:rsidR="002D0DED">
        <w:rPr>
          <w:rFonts w:ascii="Garamond" w:hAnsi="Garamond"/>
          <w:bCs/>
          <w:sz w:val="24"/>
          <w:szCs w:val="24"/>
        </w:rPr>
        <w:t xml:space="preserve">reinforce </w:t>
      </w:r>
      <w:r w:rsidR="005A68F4">
        <w:rPr>
          <w:rFonts w:ascii="Garamond" w:hAnsi="Garamond"/>
          <w:bCs/>
          <w:sz w:val="24"/>
          <w:szCs w:val="24"/>
        </w:rPr>
        <w:t>notions</w:t>
      </w:r>
      <w:r w:rsidR="002D0DED">
        <w:rPr>
          <w:rFonts w:ascii="Garamond" w:hAnsi="Garamond"/>
          <w:bCs/>
          <w:sz w:val="24"/>
          <w:szCs w:val="24"/>
        </w:rPr>
        <w:t xml:space="preserve"> that</w:t>
      </w:r>
      <w:r w:rsidR="0018606A">
        <w:rPr>
          <w:rFonts w:ascii="Garamond" w:hAnsi="Garamond"/>
          <w:bCs/>
          <w:sz w:val="24"/>
          <w:szCs w:val="24"/>
        </w:rPr>
        <w:t xml:space="preserve"> “education is unproblematic and overwhelmingly positive as long as its quality is measurable and assessed systematically”</w:t>
      </w:r>
      <w:r w:rsidR="004B1D43">
        <w:rPr>
          <w:rFonts w:ascii="Garamond" w:hAnsi="Garamond"/>
          <w:bCs/>
          <w:sz w:val="24"/>
          <w:szCs w:val="24"/>
        </w:rPr>
        <w:t>.</w:t>
      </w:r>
      <w:r w:rsidR="0018606A">
        <w:rPr>
          <w:rStyle w:val="EndnoteReference"/>
          <w:rFonts w:ascii="Garamond" w:hAnsi="Garamond"/>
          <w:bCs/>
          <w:sz w:val="24"/>
          <w:szCs w:val="24"/>
        </w:rPr>
        <w:endnoteReference w:id="1"/>
      </w:r>
    </w:p>
    <w:p w14:paraId="730784D7" w14:textId="4640244F" w:rsidR="00A3723F" w:rsidRDefault="00C63CED" w:rsidP="00A3723F">
      <w:pPr>
        <w:spacing w:line="276" w:lineRule="auto"/>
        <w:rPr>
          <w:rFonts w:ascii="Garamond" w:hAnsi="Garamond"/>
          <w:bCs/>
          <w:sz w:val="24"/>
          <w:szCs w:val="24"/>
        </w:rPr>
      </w:pPr>
      <w:r>
        <w:rPr>
          <w:rFonts w:ascii="Garamond" w:hAnsi="Garamond"/>
          <w:bCs/>
          <w:sz w:val="24"/>
          <w:szCs w:val="24"/>
        </w:rPr>
        <w:t xml:space="preserve">The Global Partnership for Education </w:t>
      </w:r>
      <w:r w:rsidR="00317F50">
        <w:rPr>
          <w:rFonts w:ascii="Garamond" w:hAnsi="Garamond"/>
          <w:bCs/>
          <w:sz w:val="24"/>
          <w:szCs w:val="24"/>
        </w:rPr>
        <w:t xml:space="preserve">(GPE) </w:t>
      </w:r>
      <w:r>
        <w:rPr>
          <w:rFonts w:ascii="Garamond" w:hAnsi="Garamond"/>
          <w:bCs/>
          <w:sz w:val="24"/>
          <w:szCs w:val="24"/>
        </w:rPr>
        <w:t>is an important actor at national level</w:t>
      </w:r>
      <w:r w:rsidR="00BA2EBA">
        <w:rPr>
          <w:rFonts w:ascii="Garamond" w:hAnsi="Garamond"/>
          <w:bCs/>
          <w:sz w:val="24"/>
          <w:szCs w:val="24"/>
        </w:rPr>
        <w:t>: it</w:t>
      </w:r>
      <w:r w:rsidR="00317F50">
        <w:rPr>
          <w:rFonts w:ascii="Garamond" w:hAnsi="Garamond"/>
          <w:bCs/>
          <w:sz w:val="24"/>
          <w:szCs w:val="24"/>
        </w:rPr>
        <w:t xml:space="preserve"> funds public education in 61 countries. </w:t>
      </w:r>
      <w:r w:rsidR="002F7BC4">
        <w:rPr>
          <w:rFonts w:ascii="Garamond" w:hAnsi="Garamond"/>
          <w:bCs/>
          <w:sz w:val="24"/>
          <w:szCs w:val="24"/>
        </w:rPr>
        <w:t xml:space="preserve">GPE </w:t>
      </w:r>
      <w:r w:rsidR="00BA2EBA">
        <w:rPr>
          <w:rFonts w:ascii="Garamond" w:hAnsi="Garamond"/>
          <w:bCs/>
          <w:sz w:val="24"/>
          <w:szCs w:val="24"/>
        </w:rPr>
        <w:t xml:space="preserve">also </w:t>
      </w:r>
      <w:r w:rsidR="00317F50">
        <w:rPr>
          <w:rFonts w:ascii="Garamond" w:hAnsi="Garamond"/>
          <w:bCs/>
          <w:sz w:val="24"/>
          <w:szCs w:val="24"/>
        </w:rPr>
        <w:t>funds the Global Campaign for Education (GCE)</w:t>
      </w:r>
      <w:r w:rsidR="00BA2EBA">
        <w:rPr>
          <w:rFonts w:ascii="Garamond" w:hAnsi="Garamond"/>
          <w:bCs/>
          <w:sz w:val="24"/>
          <w:szCs w:val="24"/>
        </w:rPr>
        <w:t xml:space="preserve"> and its</w:t>
      </w:r>
      <w:r w:rsidR="00317F50">
        <w:rPr>
          <w:rFonts w:ascii="Garamond" w:hAnsi="Garamond"/>
          <w:bCs/>
          <w:sz w:val="24"/>
          <w:szCs w:val="24"/>
        </w:rPr>
        <w:t xml:space="preserve"> </w:t>
      </w:r>
      <w:r w:rsidR="00BA2EBA">
        <w:rPr>
          <w:rFonts w:ascii="Garamond" w:hAnsi="Garamond"/>
          <w:bCs/>
          <w:sz w:val="24"/>
          <w:szCs w:val="24"/>
        </w:rPr>
        <w:t xml:space="preserve">affiliates </w:t>
      </w:r>
      <w:r w:rsidR="00317F50">
        <w:rPr>
          <w:rFonts w:ascii="Garamond" w:hAnsi="Garamond"/>
          <w:bCs/>
          <w:sz w:val="24"/>
          <w:szCs w:val="24"/>
        </w:rPr>
        <w:t>through the Civil Society Education Fund (</w:t>
      </w:r>
      <w:r w:rsidR="00533FB0" w:rsidRPr="00317F50">
        <w:rPr>
          <w:rFonts w:ascii="Garamond" w:hAnsi="Garamond"/>
          <w:bCs/>
          <w:sz w:val="24"/>
          <w:szCs w:val="24"/>
        </w:rPr>
        <w:t>CSEF</w:t>
      </w:r>
      <w:r w:rsidR="00317F50">
        <w:rPr>
          <w:rFonts w:ascii="Garamond" w:hAnsi="Garamond"/>
          <w:bCs/>
          <w:sz w:val="24"/>
          <w:szCs w:val="24"/>
        </w:rPr>
        <w:t>)</w:t>
      </w:r>
      <w:r w:rsidR="002F7BC4">
        <w:rPr>
          <w:rFonts w:ascii="Garamond" w:hAnsi="Garamond"/>
          <w:bCs/>
          <w:sz w:val="24"/>
          <w:szCs w:val="24"/>
        </w:rPr>
        <w:t xml:space="preserve">; the new </w:t>
      </w:r>
      <w:r w:rsidR="00BA2EBA" w:rsidRPr="00317F50">
        <w:rPr>
          <w:rFonts w:ascii="Garamond" w:hAnsi="Garamond"/>
          <w:bCs/>
          <w:sz w:val="24"/>
          <w:szCs w:val="24"/>
        </w:rPr>
        <w:t xml:space="preserve">2016-2018 </w:t>
      </w:r>
      <w:r w:rsidR="002F7BC4">
        <w:rPr>
          <w:rFonts w:ascii="Garamond" w:hAnsi="Garamond"/>
          <w:bCs/>
          <w:sz w:val="24"/>
          <w:szCs w:val="24"/>
        </w:rPr>
        <w:t xml:space="preserve">proposal of </w:t>
      </w:r>
      <w:r w:rsidR="00BA2EBA">
        <w:rPr>
          <w:rFonts w:ascii="Garamond" w:hAnsi="Garamond"/>
          <w:bCs/>
          <w:sz w:val="24"/>
          <w:szCs w:val="24"/>
        </w:rPr>
        <w:t xml:space="preserve">$27m </w:t>
      </w:r>
      <w:r w:rsidR="00317F50">
        <w:rPr>
          <w:rFonts w:ascii="Garamond" w:hAnsi="Garamond"/>
          <w:bCs/>
          <w:sz w:val="24"/>
          <w:szCs w:val="24"/>
        </w:rPr>
        <w:t xml:space="preserve">is likely </w:t>
      </w:r>
      <w:r w:rsidR="002F7BC4">
        <w:rPr>
          <w:rFonts w:ascii="Garamond" w:hAnsi="Garamond"/>
          <w:bCs/>
          <w:sz w:val="24"/>
          <w:szCs w:val="24"/>
        </w:rPr>
        <w:t xml:space="preserve">to be approved soon by the GPE board. GPE establishes </w:t>
      </w:r>
      <w:r w:rsidR="002F7BC4" w:rsidRPr="00317F50">
        <w:rPr>
          <w:rFonts w:ascii="Garamond" w:hAnsi="Garamond"/>
          <w:bCs/>
          <w:sz w:val="24"/>
          <w:szCs w:val="24"/>
        </w:rPr>
        <w:t>Local Education Groups</w:t>
      </w:r>
      <w:r w:rsidR="002F7BC4">
        <w:rPr>
          <w:rFonts w:ascii="Garamond" w:hAnsi="Garamond"/>
          <w:bCs/>
          <w:sz w:val="24"/>
          <w:szCs w:val="24"/>
        </w:rPr>
        <w:t xml:space="preserve"> (LEGs) in each</w:t>
      </w:r>
      <w:r w:rsidR="002F7BC4" w:rsidRPr="00317F50">
        <w:rPr>
          <w:rFonts w:ascii="Garamond" w:hAnsi="Garamond"/>
          <w:bCs/>
          <w:sz w:val="24"/>
          <w:szCs w:val="24"/>
        </w:rPr>
        <w:t xml:space="preserve"> </w:t>
      </w:r>
      <w:r w:rsidR="002F7BC4">
        <w:rPr>
          <w:rFonts w:ascii="Garamond" w:hAnsi="Garamond"/>
          <w:bCs/>
          <w:sz w:val="24"/>
          <w:szCs w:val="24"/>
        </w:rPr>
        <w:t>recipient country</w:t>
      </w:r>
      <w:r w:rsidR="00BA2EBA">
        <w:rPr>
          <w:rFonts w:ascii="Garamond" w:hAnsi="Garamond"/>
          <w:bCs/>
          <w:sz w:val="24"/>
          <w:szCs w:val="24"/>
        </w:rPr>
        <w:t>; the LEGs</w:t>
      </w:r>
      <w:r w:rsidR="002F7BC4">
        <w:rPr>
          <w:rFonts w:ascii="Garamond" w:hAnsi="Garamond"/>
          <w:bCs/>
          <w:sz w:val="24"/>
          <w:szCs w:val="24"/>
        </w:rPr>
        <w:t xml:space="preserve"> are meant to</w:t>
      </w:r>
      <w:r w:rsidR="002F7BC4" w:rsidRPr="00317F50">
        <w:rPr>
          <w:rFonts w:ascii="Garamond" w:hAnsi="Garamond"/>
          <w:bCs/>
          <w:sz w:val="24"/>
          <w:szCs w:val="24"/>
        </w:rPr>
        <w:t xml:space="preserve"> </w:t>
      </w:r>
      <w:r w:rsidR="00A3723F">
        <w:rPr>
          <w:rFonts w:ascii="Garamond" w:hAnsi="Garamond"/>
          <w:bCs/>
          <w:sz w:val="24"/>
          <w:szCs w:val="24"/>
        </w:rPr>
        <w:t xml:space="preserve">involve local stakeholders and </w:t>
      </w:r>
      <w:r w:rsidR="00BA2EBA">
        <w:rPr>
          <w:rFonts w:ascii="Garamond" w:hAnsi="Garamond"/>
          <w:bCs/>
          <w:sz w:val="24"/>
          <w:szCs w:val="24"/>
        </w:rPr>
        <w:t>build</w:t>
      </w:r>
      <w:r w:rsidR="00BA2EBA" w:rsidRPr="00317F50">
        <w:rPr>
          <w:rFonts w:ascii="Garamond" w:hAnsi="Garamond"/>
          <w:bCs/>
          <w:sz w:val="24"/>
          <w:szCs w:val="24"/>
        </w:rPr>
        <w:t xml:space="preserve"> accountability</w:t>
      </w:r>
      <w:r w:rsidR="00BA2EBA">
        <w:rPr>
          <w:rFonts w:ascii="Garamond" w:hAnsi="Garamond"/>
          <w:bCs/>
          <w:sz w:val="24"/>
          <w:szCs w:val="24"/>
        </w:rPr>
        <w:t xml:space="preserve"> through</w:t>
      </w:r>
      <w:r w:rsidR="00BA2EBA" w:rsidRPr="00317F50">
        <w:rPr>
          <w:rFonts w:ascii="Garamond" w:hAnsi="Garamond"/>
          <w:bCs/>
          <w:sz w:val="24"/>
          <w:szCs w:val="24"/>
        </w:rPr>
        <w:t xml:space="preserve"> </w:t>
      </w:r>
      <w:r w:rsidR="00BA2EBA">
        <w:rPr>
          <w:rFonts w:ascii="Garamond" w:hAnsi="Garamond"/>
          <w:bCs/>
          <w:sz w:val="24"/>
          <w:szCs w:val="24"/>
        </w:rPr>
        <w:t>evidence-based policy dialogue as a means to ensure the delivery of results</w:t>
      </w:r>
      <w:r w:rsidR="002F7BC4">
        <w:rPr>
          <w:rFonts w:ascii="Garamond" w:hAnsi="Garamond"/>
          <w:bCs/>
          <w:sz w:val="24"/>
          <w:szCs w:val="24"/>
        </w:rPr>
        <w:t xml:space="preserve">. However, </w:t>
      </w:r>
      <w:r w:rsidR="00BA2EBA">
        <w:rPr>
          <w:rFonts w:ascii="Garamond" w:hAnsi="Garamond"/>
          <w:bCs/>
          <w:sz w:val="24"/>
          <w:szCs w:val="24"/>
        </w:rPr>
        <w:t>the</w:t>
      </w:r>
      <w:r w:rsidR="00BA2EBA" w:rsidRPr="00317F50">
        <w:rPr>
          <w:rFonts w:ascii="Garamond" w:hAnsi="Garamond"/>
          <w:bCs/>
          <w:sz w:val="24"/>
          <w:szCs w:val="24"/>
        </w:rPr>
        <w:t xml:space="preserve"> </w:t>
      </w:r>
      <w:r w:rsidR="002F7BC4" w:rsidRPr="00317F50">
        <w:rPr>
          <w:rFonts w:ascii="Garamond" w:hAnsi="Garamond"/>
          <w:bCs/>
          <w:sz w:val="24"/>
          <w:szCs w:val="24"/>
        </w:rPr>
        <w:t xml:space="preserve">CSEF </w:t>
      </w:r>
      <w:r w:rsidR="00533FB0" w:rsidRPr="00317F50">
        <w:rPr>
          <w:rFonts w:ascii="Garamond" w:hAnsi="Garamond"/>
          <w:bCs/>
          <w:sz w:val="24"/>
          <w:szCs w:val="24"/>
        </w:rPr>
        <w:t xml:space="preserve">has </w:t>
      </w:r>
      <w:r w:rsidR="00BA2EBA">
        <w:rPr>
          <w:rFonts w:ascii="Garamond" w:hAnsi="Garamond"/>
          <w:bCs/>
          <w:sz w:val="24"/>
          <w:szCs w:val="24"/>
        </w:rPr>
        <w:t xml:space="preserve">generally </w:t>
      </w:r>
      <w:r w:rsidR="00533FB0" w:rsidRPr="00317F50">
        <w:rPr>
          <w:rFonts w:ascii="Garamond" w:hAnsi="Garamond"/>
          <w:bCs/>
          <w:sz w:val="24"/>
          <w:szCs w:val="24"/>
        </w:rPr>
        <w:t>no</w:t>
      </w:r>
      <w:r w:rsidR="002F7BC4">
        <w:rPr>
          <w:rFonts w:ascii="Garamond" w:hAnsi="Garamond"/>
          <w:bCs/>
          <w:sz w:val="24"/>
          <w:szCs w:val="24"/>
        </w:rPr>
        <w:t>t led to greater participation by</w:t>
      </w:r>
      <w:r w:rsidR="00533FB0" w:rsidRPr="00317F50">
        <w:rPr>
          <w:rFonts w:ascii="Garamond" w:hAnsi="Garamond"/>
          <w:bCs/>
          <w:sz w:val="24"/>
          <w:szCs w:val="24"/>
        </w:rPr>
        <w:t xml:space="preserve"> </w:t>
      </w:r>
      <w:r w:rsidR="00A3723F">
        <w:rPr>
          <w:rFonts w:ascii="Garamond" w:hAnsi="Garamond"/>
          <w:bCs/>
          <w:sz w:val="24"/>
          <w:szCs w:val="24"/>
        </w:rPr>
        <w:t>GCE-affiliated national coalitions</w:t>
      </w:r>
      <w:r w:rsidR="00533FB0" w:rsidRPr="00317F50">
        <w:rPr>
          <w:rFonts w:ascii="Garamond" w:hAnsi="Garamond"/>
          <w:bCs/>
          <w:sz w:val="24"/>
          <w:szCs w:val="24"/>
        </w:rPr>
        <w:t xml:space="preserve"> </w:t>
      </w:r>
      <w:r w:rsidR="00A3723F">
        <w:rPr>
          <w:rFonts w:ascii="Garamond" w:hAnsi="Garamond"/>
          <w:bCs/>
          <w:sz w:val="24"/>
          <w:szCs w:val="24"/>
        </w:rPr>
        <w:t xml:space="preserve">and most </w:t>
      </w:r>
      <w:r w:rsidR="00A3723F" w:rsidRPr="00317F50">
        <w:rPr>
          <w:rFonts w:ascii="Garamond" w:hAnsi="Garamond"/>
          <w:bCs/>
          <w:sz w:val="24"/>
          <w:szCs w:val="24"/>
        </w:rPr>
        <w:t>LEGs</w:t>
      </w:r>
      <w:r w:rsidR="00A3723F">
        <w:rPr>
          <w:rFonts w:ascii="Garamond" w:hAnsi="Garamond"/>
          <w:bCs/>
          <w:sz w:val="24"/>
          <w:szCs w:val="24"/>
        </w:rPr>
        <w:t xml:space="preserve"> remain dysfunctional</w:t>
      </w:r>
      <w:r w:rsidR="00FD18F2">
        <w:rPr>
          <w:rFonts w:ascii="Garamond" w:hAnsi="Garamond"/>
          <w:bCs/>
          <w:sz w:val="24"/>
          <w:szCs w:val="24"/>
        </w:rPr>
        <w:t>, confusing a handful of NGOs for civil society</w:t>
      </w:r>
      <w:r w:rsidR="00A3723F">
        <w:rPr>
          <w:rFonts w:ascii="Garamond" w:hAnsi="Garamond"/>
          <w:bCs/>
          <w:sz w:val="24"/>
          <w:szCs w:val="24"/>
        </w:rPr>
        <w:t>.</w:t>
      </w:r>
      <w:r w:rsidR="002F7BC4">
        <w:rPr>
          <w:rFonts w:ascii="Garamond" w:hAnsi="Garamond"/>
          <w:bCs/>
          <w:sz w:val="24"/>
          <w:szCs w:val="24"/>
        </w:rPr>
        <w:t xml:space="preserve"> </w:t>
      </w:r>
      <w:r w:rsidR="008768F1">
        <w:rPr>
          <w:rFonts w:ascii="Garamond" w:hAnsi="Garamond"/>
          <w:bCs/>
          <w:sz w:val="24"/>
          <w:szCs w:val="24"/>
        </w:rPr>
        <w:t>Our</w:t>
      </w:r>
      <w:r w:rsidR="00A3723F">
        <w:rPr>
          <w:rFonts w:ascii="Garamond" w:hAnsi="Garamond"/>
          <w:bCs/>
          <w:sz w:val="24"/>
          <w:szCs w:val="24"/>
        </w:rPr>
        <w:t xml:space="preserve"> concern is that </w:t>
      </w:r>
      <w:r w:rsidR="008768F1">
        <w:rPr>
          <w:rFonts w:ascii="Garamond" w:hAnsi="Garamond"/>
          <w:bCs/>
          <w:sz w:val="24"/>
          <w:szCs w:val="24"/>
        </w:rPr>
        <w:t xml:space="preserve">the </w:t>
      </w:r>
      <w:r w:rsidR="00A3723F">
        <w:rPr>
          <w:rFonts w:ascii="Garamond" w:hAnsi="Garamond"/>
          <w:bCs/>
          <w:sz w:val="24"/>
          <w:szCs w:val="24"/>
        </w:rPr>
        <w:t xml:space="preserve">CSEF </w:t>
      </w:r>
      <w:r w:rsidR="00574705">
        <w:rPr>
          <w:rFonts w:ascii="Garamond" w:hAnsi="Garamond"/>
          <w:bCs/>
          <w:sz w:val="24"/>
          <w:szCs w:val="24"/>
        </w:rPr>
        <w:t xml:space="preserve">and the global forces behind them </w:t>
      </w:r>
      <w:r w:rsidR="008768F1">
        <w:rPr>
          <w:rFonts w:ascii="Garamond" w:hAnsi="Garamond"/>
          <w:bCs/>
          <w:sz w:val="24"/>
          <w:szCs w:val="24"/>
        </w:rPr>
        <w:t xml:space="preserve">has </w:t>
      </w:r>
      <w:r w:rsidR="00A3723F">
        <w:rPr>
          <w:rFonts w:ascii="Garamond" w:hAnsi="Garamond"/>
          <w:bCs/>
          <w:sz w:val="24"/>
          <w:szCs w:val="24"/>
        </w:rPr>
        <w:t>strip</w:t>
      </w:r>
      <w:r w:rsidR="008768F1">
        <w:rPr>
          <w:rFonts w:ascii="Garamond" w:hAnsi="Garamond"/>
          <w:bCs/>
          <w:sz w:val="24"/>
          <w:szCs w:val="24"/>
        </w:rPr>
        <w:t>ped</w:t>
      </w:r>
      <w:r w:rsidR="00533FB0" w:rsidRPr="00A3723F">
        <w:rPr>
          <w:rFonts w:ascii="Garamond" w:hAnsi="Garamond"/>
          <w:bCs/>
          <w:sz w:val="24"/>
          <w:szCs w:val="24"/>
        </w:rPr>
        <w:t xml:space="preserve"> national coalitions of their political force</w:t>
      </w:r>
      <w:r w:rsidR="008768F1">
        <w:rPr>
          <w:rFonts w:ascii="Garamond" w:hAnsi="Garamond"/>
          <w:bCs/>
          <w:sz w:val="24"/>
          <w:szCs w:val="24"/>
        </w:rPr>
        <w:t>, rendering</w:t>
      </w:r>
      <w:r w:rsidR="00533FB0" w:rsidRPr="00A3723F">
        <w:rPr>
          <w:rFonts w:ascii="Garamond" w:hAnsi="Garamond"/>
          <w:bCs/>
          <w:sz w:val="24"/>
          <w:szCs w:val="24"/>
        </w:rPr>
        <w:t xml:space="preserve"> them technical </w:t>
      </w:r>
      <w:r w:rsidR="00A3723F">
        <w:rPr>
          <w:rFonts w:ascii="Garamond" w:hAnsi="Garamond"/>
          <w:bCs/>
          <w:sz w:val="24"/>
          <w:szCs w:val="24"/>
        </w:rPr>
        <w:t>partners rather than a</w:t>
      </w:r>
      <w:r w:rsidR="00826B29">
        <w:rPr>
          <w:rFonts w:ascii="Garamond" w:hAnsi="Garamond"/>
          <w:bCs/>
          <w:sz w:val="24"/>
          <w:szCs w:val="24"/>
        </w:rPr>
        <w:t>n independent guiding voice that can articulate and advocate for the most pressing needs on the ground</w:t>
      </w:r>
      <w:r w:rsidR="00A456FC">
        <w:rPr>
          <w:rFonts w:ascii="Garamond" w:hAnsi="Garamond"/>
          <w:bCs/>
          <w:sz w:val="24"/>
          <w:szCs w:val="24"/>
        </w:rPr>
        <w:t>.</w:t>
      </w:r>
      <w:r w:rsidR="008768F1">
        <w:rPr>
          <w:rFonts w:ascii="Garamond" w:hAnsi="Garamond"/>
          <w:bCs/>
          <w:sz w:val="24"/>
          <w:szCs w:val="24"/>
        </w:rPr>
        <w:t xml:space="preserve"> </w:t>
      </w:r>
    </w:p>
    <w:p w14:paraId="571D2E6E" w14:textId="2F72C91F" w:rsidR="002D69BC" w:rsidRPr="00065841" w:rsidRDefault="00F020DC" w:rsidP="00A41BDF">
      <w:pPr>
        <w:spacing w:line="276" w:lineRule="auto"/>
        <w:rPr>
          <w:b/>
          <w:color w:val="4F81BD" w:themeColor="accent1"/>
          <w:sz w:val="24"/>
          <w:szCs w:val="24"/>
        </w:rPr>
      </w:pPr>
      <w:r w:rsidRPr="00065841">
        <w:rPr>
          <w:b/>
          <w:color w:val="4F81BD" w:themeColor="accent1"/>
          <w:sz w:val="24"/>
          <w:szCs w:val="24"/>
        </w:rPr>
        <w:t xml:space="preserve">Grants </w:t>
      </w:r>
      <w:r w:rsidR="002A5AF0" w:rsidRPr="00065841">
        <w:rPr>
          <w:b/>
          <w:color w:val="4F81BD" w:themeColor="accent1"/>
          <w:sz w:val="24"/>
          <w:szCs w:val="24"/>
        </w:rPr>
        <w:t>u</w:t>
      </w:r>
      <w:r w:rsidR="00170169" w:rsidRPr="00065841">
        <w:rPr>
          <w:b/>
          <w:color w:val="4F81BD" w:themeColor="accent1"/>
          <w:sz w:val="24"/>
          <w:szCs w:val="24"/>
        </w:rPr>
        <w:t xml:space="preserve">nder Review </w:t>
      </w:r>
      <w:r w:rsidRPr="00065841">
        <w:rPr>
          <w:b/>
          <w:color w:val="4F81BD" w:themeColor="accent1"/>
          <w:sz w:val="24"/>
          <w:szCs w:val="24"/>
        </w:rPr>
        <w:t xml:space="preserve">in this </w:t>
      </w:r>
      <w:r w:rsidR="00170169" w:rsidRPr="00065841">
        <w:rPr>
          <w:b/>
          <w:color w:val="4F81BD" w:themeColor="accent1"/>
          <w:sz w:val="24"/>
          <w:szCs w:val="24"/>
        </w:rPr>
        <w:t>Portfolio</w:t>
      </w:r>
    </w:p>
    <w:p w14:paraId="76AB63F6" w14:textId="25BDCD3B" w:rsidR="00816379" w:rsidRDefault="00675D53" w:rsidP="00B23261">
      <w:pPr>
        <w:spacing w:line="276" w:lineRule="auto"/>
        <w:rPr>
          <w:rFonts w:ascii="Garamond" w:hAnsi="Garamond"/>
          <w:bCs/>
          <w:sz w:val="24"/>
          <w:szCs w:val="24"/>
        </w:rPr>
      </w:pPr>
      <w:r w:rsidRPr="00A41BDF">
        <w:rPr>
          <w:rFonts w:ascii="Garamond" w:hAnsi="Garamond"/>
          <w:bCs/>
          <w:sz w:val="24"/>
          <w:szCs w:val="24"/>
        </w:rPr>
        <w:t>Our</w:t>
      </w:r>
      <w:r w:rsidR="00E0394F" w:rsidRPr="00A41BDF">
        <w:rPr>
          <w:rFonts w:ascii="Garamond" w:hAnsi="Garamond"/>
          <w:bCs/>
          <w:sz w:val="24"/>
          <w:szCs w:val="24"/>
        </w:rPr>
        <w:t xml:space="preserve"> </w:t>
      </w:r>
      <w:r w:rsidRPr="00A41BDF">
        <w:rPr>
          <w:rFonts w:ascii="Garamond" w:hAnsi="Garamond"/>
          <w:bCs/>
          <w:sz w:val="24"/>
          <w:szCs w:val="24"/>
        </w:rPr>
        <w:t xml:space="preserve">support for the </w:t>
      </w:r>
      <w:r w:rsidR="00140F3B" w:rsidRPr="00A41BDF">
        <w:rPr>
          <w:rFonts w:ascii="Garamond" w:hAnsi="Garamond"/>
          <w:bCs/>
          <w:sz w:val="24"/>
          <w:szCs w:val="24"/>
        </w:rPr>
        <w:t xml:space="preserve">19 organisations in </w:t>
      </w:r>
      <w:r w:rsidR="00E0394F" w:rsidRPr="00A41BDF">
        <w:rPr>
          <w:rFonts w:ascii="Garamond" w:hAnsi="Garamond"/>
          <w:bCs/>
          <w:sz w:val="24"/>
          <w:szCs w:val="24"/>
        </w:rPr>
        <w:t xml:space="preserve">this portfolio </w:t>
      </w:r>
      <w:r w:rsidR="00140F3B" w:rsidRPr="00A41BDF">
        <w:rPr>
          <w:rFonts w:ascii="Garamond" w:hAnsi="Garamond"/>
          <w:bCs/>
          <w:sz w:val="24"/>
          <w:szCs w:val="24"/>
        </w:rPr>
        <w:t>presen</w:t>
      </w:r>
      <w:r w:rsidR="00E435B5" w:rsidRPr="00A41BDF">
        <w:rPr>
          <w:rFonts w:ascii="Garamond" w:hAnsi="Garamond"/>
          <w:bCs/>
          <w:sz w:val="24"/>
          <w:szCs w:val="24"/>
        </w:rPr>
        <w:t>t</w:t>
      </w:r>
      <w:r w:rsidR="00FD18F2" w:rsidRPr="00A41BDF">
        <w:rPr>
          <w:rFonts w:ascii="Garamond" w:hAnsi="Garamond"/>
          <w:bCs/>
          <w:sz w:val="24"/>
          <w:szCs w:val="24"/>
        </w:rPr>
        <w:t>s</w:t>
      </w:r>
      <w:r w:rsidR="00E435B5" w:rsidRPr="00A41BDF">
        <w:rPr>
          <w:rFonts w:ascii="Garamond" w:hAnsi="Garamond"/>
          <w:bCs/>
          <w:sz w:val="24"/>
          <w:szCs w:val="24"/>
        </w:rPr>
        <w:t xml:space="preserve"> a series </w:t>
      </w:r>
      <w:r w:rsidR="00EE20F3" w:rsidRPr="00A41BDF">
        <w:rPr>
          <w:rFonts w:ascii="Garamond" w:hAnsi="Garamond"/>
          <w:bCs/>
          <w:sz w:val="24"/>
          <w:szCs w:val="24"/>
        </w:rPr>
        <w:t xml:space="preserve">of </w:t>
      </w:r>
      <w:r w:rsidR="00A41BDF" w:rsidRPr="00A41BDF">
        <w:rPr>
          <w:rFonts w:ascii="Garamond" w:hAnsi="Garamond"/>
          <w:bCs/>
          <w:sz w:val="24"/>
          <w:szCs w:val="24"/>
        </w:rPr>
        <w:t xml:space="preserve">35 </w:t>
      </w:r>
      <w:r w:rsidR="00E435B5" w:rsidRPr="00A41BDF">
        <w:rPr>
          <w:rFonts w:ascii="Garamond" w:hAnsi="Garamond"/>
          <w:bCs/>
          <w:sz w:val="24"/>
          <w:szCs w:val="24"/>
        </w:rPr>
        <w:t>grants over</w:t>
      </w:r>
      <w:r w:rsidR="00A456FC" w:rsidRPr="00A41BDF">
        <w:rPr>
          <w:rFonts w:ascii="Garamond" w:hAnsi="Garamond"/>
          <w:bCs/>
          <w:sz w:val="24"/>
          <w:szCs w:val="24"/>
        </w:rPr>
        <w:t xml:space="preserve"> a 6-year period</w:t>
      </w:r>
      <w:r w:rsidR="00140F3B" w:rsidRPr="00A41BDF">
        <w:rPr>
          <w:rFonts w:ascii="Garamond" w:hAnsi="Garamond"/>
          <w:bCs/>
          <w:sz w:val="24"/>
          <w:szCs w:val="24"/>
        </w:rPr>
        <w:t>. The portfolio includes grants to three organisations in Latin</w:t>
      </w:r>
      <w:r w:rsidR="00140F3B" w:rsidRPr="00E435B5">
        <w:rPr>
          <w:rFonts w:ascii="Garamond" w:hAnsi="Garamond"/>
          <w:bCs/>
          <w:sz w:val="24"/>
          <w:szCs w:val="24"/>
        </w:rPr>
        <w:t xml:space="preserve"> America (Brazil and Chile) that will not be renewed in 2016</w:t>
      </w:r>
      <w:r w:rsidRPr="00E435B5">
        <w:rPr>
          <w:rFonts w:ascii="Garamond" w:hAnsi="Garamond"/>
          <w:bCs/>
          <w:sz w:val="24"/>
          <w:szCs w:val="24"/>
        </w:rPr>
        <w:t xml:space="preserve">; three grants to organisations in Pakistan that we co-fund with FOSI-Pakistan, a grant to the </w:t>
      </w:r>
      <w:r w:rsidR="00944425">
        <w:rPr>
          <w:rFonts w:ascii="Garamond" w:hAnsi="Garamond"/>
          <w:bCs/>
          <w:sz w:val="24"/>
          <w:szCs w:val="24"/>
        </w:rPr>
        <w:t>Ministry of Education in Burma to support the development of their sector plan</w:t>
      </w:r>
      <w:r w:rsidRPr="00E435B5">
        <w:rPr>
          <w:rFonts w:ascii="Garamond" w:hAnsi="Garamond"/>
          <w:bCs/>
          <w:sz w:val="24"/>
          <w:szCs w:val="24"/>
        </w:rPr>
        <w:t>; two organisations in Europe; one organisation in Taj</w:t>
      </w:r>
      <w:r w:rsidR="00FD18F2">
        <w:rPr>
          <w:rFonts w:ascii="Garamond" w:hAnsi="Garamond"/>
          <w:bCs/>
          <w:sz w:val="24"/>
          <w:szCs w:val="24"/>
        </w:rPr>
        <w:t>i</w:t>
      </w:r>
      <w:r w:rsidRPr="00E435B5">
        <w:rPr>
          <w:rFonts w:ascii="Garamond" w:hAnsi="Garamond"/>
          <w:bCs/>
          <w:sz w:val="24"/>
          <w:szCs w:val="24"/>
        </w:rPr>
        <w:t>kistan and eleven organisations in Africa</w:t>
      </w:r>
      <w:r w:rsidR="00140F3B" w:rsidRPr="00E435B5">
        <w:rPr>
          <w:rFonts w:ascii="Garamond" w:hAnsi="Garamond"/>
          <w:bCs/>
          <w:sz w:val="24"/>
          <w:szCs w:val="24"/>
        </w:rPr>
        <w:t xml:space="preserve">. </w:t>
      </w:r>
      <w:r w:rsidR="008A4D80" w:rsidRPr="00E435B5">
        <w:rPr>
          <w:rFonts w:ascii="Garamond" w:hAnsi="Garamond"/>
          <w:bCs/>
          <w:sz w:val="24"/>
          <w:szCs w:val="24"/>
        </w:rPr>
        <w:t>The</w:t>
      </w:r>
      <w:r w:rsidR="008A4D80">
        <w:rPr>
          <w:rFonts w:ascii="Garamond" w:hAnsi="Garamond"/>
          <w:bCs/>
          <w:sz w:val="24"/>
          <w:szCs w:val="24"/>
        </w:rPr>
        <w:t xml:space="preserve"> organisation</w:t>
      </w:r>
      <w:r w:rsidR="00E435B5">
        <w:rPr>
          <w:rFonts w:ascii="Garamond" w:hAnsi="Garamond"/>
          <w:bCs/>
          <w:sz w:val="24"/>
          <w:szCs w:val="24"/>
        </w:rPr>
        <w:t xml:space="preserve">s are grouped across countries by </w:t>
      </w:r>
      <w:r w:rsidR="00FC49B7">
        <w:rPr>
          <w:rFonts w:ascii="Garamond" w:hAnsi="Garamond"/>
          <w:bCs/>
          <w:sz w:val="24"/>
          <w:szCs w:val="24"/>
        </w:rPr>
        <w:t>six</w:t>
      </w:r>
      <w:r w:rsidR="008A4D80">
        <w:rPr>
          <w:rFonts w:ascii="Garamond" w:hAnsi="Garamond"/>
          <w:bCs/>
          <w:sz w:val="24"/>
          <w:szCs w:val="24"/>
        </w:rPr>
        <w:t xml:space="preserve"> approach</w:t>
      </w:r>
      <w:r w:rsidR="00FC49B7">
        <w:rPr>
          <w:rFonts w:ascii="Garamond" w:hAnsi="Garamond"/>
          <w:bCs/>
          <w:sz w:val="24"/>
          <w:szCs w:val="24"/>
        </w:rPr>
        <w:t>es</w:t>
      </w:r>
      <w:r w:rsidR="00E435B5">
        <w:rPr>
          <w:rFonts w:ascii="Garamond" w:hAnsi="Garamond"/>
          <w:bCs/>
          <w:sz w:val="24"/>
          <w:szCs w:val="24"/>
        </w:rPr>
        <w:t xml:space="preserve"> that best describe their strategies</w:t>
      </w:r>
      <w:r w:rsidR="008A4D80">
        <w:rPr>
          <w:rFonts w:ascii="Garamond" w:hAnsi="Garamond"/>
          <w:bCs/>
          <w:sz w:val="24"/>
          <w:szCs w:val="24"/>
        </w:rPr>
        <w:t xml:space="preserve"> for change</w:t>
      </w:r>
      <w:r w:rsidR="00EE20F3">
        <w:rPr>
          <w:rFonts w:ascii="Garamond" w:hAnsi="Garamond"/>
          <w:bCs/>
          <w:sz w:val="24"/>
          <w:szCs w:val="24"/>
        </w:rPr>
        <w:t xml:space="preserve">. </w:t>
      </w:r>
      <w:r w:rsidR="008A4D80">
        <w:rPr>
          <w:rFonts w:ascii="Garamond" w:hAnsi="Garamond"/>
          <w:bCs/>
          <w:sz w:val="24"/>
          <w:szCs w:val="24"/>
        </w:rPr>
        <w:t xml:space="preserve">Related grants </w:t>
      </w:r>
      <w:r w:rsidR="00E435B5">
        <w:rPr>
          <w:rFonts w:ascii="Garamond" w:hAnsi="Garamond"/>
          <w:bCs/>
          <w:sz w:val="24"/>
          <w:szCs w:val="24"/>
        </w:rPr>
        <w:t xml:space="preserve">supporting </w:t>
      </w:r>
      <w:r w:rsidR="004B1D43">
        <w:rPr>
          <w:rFonts w:ascii="Garamond" w:hAnsi="Garamond"/>
          <w:bCs/>
          <w:sz w:val="24"/>
          <w:szCs w:val="24"/>
        </w:rPr>
        <w:t xml:space="preserve">national </w:t>
      </w:r>
      <w:r w:rsidR="008A4D80">
        <w:rPr>
          <w:rFonts w:ascii="Garamond" w:hAnsi="Garamond"/>
          <w:bCs/>
          <w:sz w:val="24"/>
          <w:szCs w:val="24"/>
        </w:rPr>
        <w:t>work at regional and global levels</w:t>
      </w:r>
      <w:r w:rsidR="00FC49B7">
        <w:rPr>
          <w:rFonts w:ascii="Garamond" w:hAnsi="Garamond"/>
          <w:bCs/>
          <w:sz w:val="24"/>
          <w:szCs w:val="24"/>
        </w:rPr>
        <w:t xml:space="preserve"> are also mentioned briefly in this section</w:t>
      </w:r>
      <w:r w:rsidR="00E435B5">
        <w:rPr>
          <w:rFonts w:ascii="Garamond" w:hAnsi="Garamond"/>
          <w:bCs/>
          <w:sz w:val="24"/>
          <w:szCs w:val="24"/>
        </w:rPr>
        <w:t xml:space="preserve"> as o</w:t>
      </w:r>
      <w:r w:rsidR="008A4D80">
        <w:rPr>
          <w:rFonts w:ascii="Garamond" w:hAnsi="Garamond"/>
          <w:bCs/>
          <w:sz w:val="24"/>
          <w:szCs w:val="24"/>
        </w:rPr>
        <w:t>rganis</w:t>
      </w:r>
      <w:r w:rsidR="00FC49B7">
        <w:rPr>
          <w:rFonts w:ascii="Garamond" w:hAnsi="Garamond"/>
          <w:bCs/>
          <w:sz w:val="24"/>
          <w:szCs w:val="24"/>
        </w:rPr>
        <w:t>ing</w:t>
      </w:r>
      <w:r w:rsidR="008A4D80">
        <w:rPr>
          <w:rFonts w:ascii="Garamond" w:hAnsi="Garamond"/>
          <w:bCs/>
          <w:sz w:val="24"/>
          <w:szCs w:val="24"/>
        </w:rPr>
        <w:t xml:space="preserve"> the review </w:t>
      </w:r>
      <w:r w:rsidR="00FC49B7">
        <w:rPr>
          <w:rFonts w:ascii="Garamond" w:hAnsi="Garamond"/>
          <w:bCs/>
          <w:sz w:val="24"/>
          <w:szCs w:val="24"/>
        </w:rPr>
        <w:t xml:space="preserve">in this way </w:t>
      </w:r>
      <w:r w:rsidR="008A4D80">
        <w:rPr>
          <w:rFonts w:ascii="Garamond" w:hAnsi="Garamond"/>
          <w:bCs/>
          <w:sz w:val="24"/>
          <w:szCs w:val="24"/>
        </w:rPr>
        <w:t xml:space="preserve">allows a more comparative reflection on the </w:t>
      </w:r>
      <w:r w:rsidR="009A4378">
        <w:rPr>
          <w:rFonts w:ascii="Garamond" w:hAnsi="Garamond"/>
          <w:bCs/>
          <w:sz w:val="24"/>
          <w:szCs w:val="24"/>
        </w:rPr>
        <w:t xml:space="preserve">tactics and </w:t>
      </w:r>
      <w:r w:rsidR="008A4D80">
        <w:rPr>
          <w:rFonts w:ascii="Garamond" w:hAnsi="Garamond"/>
          <w:bCs/>
          <w:sz w:val="24"/>
          <w:szCs w:val="24"/>
        </w:rPr>
        <w:t xml:space="preserve">tools that are employed to influence national policy. </w:t>
      </w:r>
    </w:p>
    <w:p w14:paraId="5BBD401A" w14:textId="77777777" w:rsidR="00EA054B" w:rsidRDefault="00EA054B" w:rsidP="00B23261">
      <w:pPr>
        <w:spacing w:line="276" w:lineRule="auto"/>
        <w:rPr>
          <w:rFonts w:ascii="Garamond" w:hAnsi="Garamond"/>
          <w:bCs/>
          <w:sz w:val="24"/>
          <w:szCs w:val="24"/>
        </w:rPr>
      </w:pPr>
    </w:p>
    <w:p w14:paraId="30737571" w14:textId="1EBCAEDF" w:rsidR="008A4D80" w:rsidRPr="006C24DB" w:rsidRDefault="008A4D80" w:rsidP="00105252">
      <w:pPr>
        <w:pStyle w:val="ListParagraph"/>
        <w:numPr>
          <w:ilvl w:val="0"/>
          <w:numId w:val="4"/>
        </w:numPr>
        <w:tabs>
          <w:tab w:val="left" w:pos="3936"/>
          <w:tab w:val="left" w:pos="5467"/>
        </w:tabs>
        <w:spacing w:before="240" w:line="276" w:lineRule="auto"/>
        <w:ind w:left="714" w:hanging="357"/>
        <w:rPr>
          <w:rFonts w:ascii="Garamond" w:hAnsi="Garamond"/>
          <w:b/>
          <w:bCs/>
          <w:i/>
          <w:sz w:val="24"/>
          <w:szCs w:val="24"/>
        </w:rPr>
      </w:pPr>
      <w:r w:rsidRPr="006C24DB">
        <w:rPr>
          <w:rFonts w:ascii="Garamond" w:hAnsi="Garamond"/>
          <w:b/>
          <w:bCs/>
          <w:i/>
          <w:sz w:val="24"/>
          <w:szCs w:val="24"/>
        </w:rPr>
        <w:lastRenderedPageBreak/>
        <w:t xml:space="preserve">National coalition building </w:t>
      </w:r>
    </w:p>
    <w:p w14:paraId="3525B7B7" w14:textId="53215EC1" w:rsidR="0028675E" w:rsidRPr="0028675E" w:rsidRDefault="00C21598" w:rsidP="0028675E">
      <w:pPr>
        <w:spacing w:line="276" w:lineRule="auto"/>
        <w:rPr>
          <w:rFonts w:ascii="Garamond" w:hAnsi="Garamond"/>
          <w:bCs/>
          <w:sz w:val="24"/>
          <w:szCs w:val="24"/>
        </w:rPr>
      </w:pPr>
      <w:r>
        <w:rPr>
          <w:rFonts w:ascii="Garamond" w:hAnsi="Garamond"/>
          <w:bCs/>
          <w:sz w:val="24"/>
          <w:szCs w:val="24"/>
        </w:rPr>
        <w:t>The idea behind the national coalitions for education, most of</w:t>
      </w:r>
      <w:r w:rsidR="00EA054B">
        <w:rPr>
          <w:rFonts w:ascii="Garamond" w:hAnsi="Garamond"/>
          <w:bCs/>
          <w:sz w:val="24"/>
          <w:szCs w:val="24"/>
        </w:rPr>
        <w:t xml:space="preserve"> which were set up in the build-up </w:t>
      </w:r>
      <w:r>
        <w:rPr>
          <w:rFonts w:ascii="Garamond" w:hAnsi="Garamond"/>
          <w:bCs/>
          <w:sz w:val="24"/>
          <w:szCs w:val="24"/>
        </w:rPr>
        <w:t xml:space="preserve">and </w:t>
      </w:r>
      <w:r w:rsidR="00506502">
        <w:rPr>
          <w:rFonts w:ascii="Garamond" w:hAnsi="Garamond"/>
          <w:bCs/>
          <w:sz w:val="24"/>
          <w:szCs w:val="24"/>
        </w:rPr>
        <w:t>subsequently to</w:t>
      </w:r>
      <w:r>
        <w:rPr>
          <w:rFonts w:ascii="Garamond" w:hAnsi="Garamond"/>
          <w:bCs/>
          <w:sz w:val="24"/>
          <w:szCs w:val="24"/>
        </w:rPr>
        <w:t xml:space="preserve"> World Education </w:t>
      </w:r>
      <w:proofErr w:type="gramStart"/>
      <w:r>
        <w:rPr>
          <w:rFonts w:ascii="Garamond" w:hAnsi="Garamond"/>
          <w:bCs/>
          <w:sz w:val="24"/>
          <w:szCs w:val="24"/>
        </w:rPr>
        <w:t>For</w:t>
      </w:r>
      <w:proofErr w:type="gramEnd"/>
      <w:r>
        <w:rPr>
          <w:rFonts w:ascii="Garamond" w:hAnsi="Garamond"/>
          <w:bCs/>
          <w:sz w:val="24"/>
          <w:szCs w:val="24"/>
        </w:rPr>
        <w:t xml:space="preserve"> All meeting in Dakar</w:t>
      </w:r>
      <w:r w:rsidR="00506502">
        <w:rPr>
          <w:rFonts w:ascii="Garamond" w:hAnsi="Garamond"/>
          <w:bCs/>
          <w:sz w:val="24"/>
          <w:szCs w:val="24"/>
        </w:rPr>
        <w:t xml:space="preserve"> in 2000</w:t>
      </w:r>
      <w:r w:rsidR="00EA054B">
        <w:rPr>
          <w:rFonts w:ascii="Garamond" w:hAnsi="Garamond"/>
          <w:bCs/>
          <w:sz w:val="24"/>
          <w:szCs w:val="24"/>
        </w:rPr>
        <w:t>,</w:t>
      </w:r>
      <w:r>
        <w:rPr>
          <w:rFonts w:ascii="Garamond" w:hAnsi="Garamond"/>
          <w:bCs/>
          <w:sz w:val="24"/>
          <w:szCs w:val="24"/>
        </w:rPr>
        <w:t xml:space="preserve"> is that the c</w:t>
      </w:r>
      <w:r w:rsidR="00EA054B">
        <w:rPr>
          <w:rFonts w:ascii="Garamond" w:hAnsi="Garamond"/>
          <w:bCs/>
          <w:sz w:val="24"/>
          <w:szCs w:val="24"/>
        </w:rPr>
        <w:t>oalition represents</w:t>
      </w:r>
      <w:r>
        <w:rPr>
          <w:rFonts w:ascii="Garamond" w:hAnsi="Garamond"/>
          <w:bCs/>
          <w:sz w:val="24"/>
          <w:szCs w:val="24"/>
        </w:rPr>
        <w:t xml:space="preserve"> the combined</w:t>
      </w:r>
      <w:r w:rsidR="00944425">
        <w:rPr>
          <w:rFonts w:ascii="Garamond" w:hAnsi="Garamond"/>
          <w:bCs/>
          <w:sz w:val="24"/>
          <w:szCs w:val="24"/>
        </w:rPr>
        <w:t xml:space="preserve"> interests of a range of civil society actors</w:t>
      </w:r>
      <w:r w:rsidR="00EA054B">
        <w:rPr>
          <w:rFonts w:ascii="Garamond" w:hAnsi="Garamond"/>
          <w:bCs/>
          <w:sz w:val="24"/>
          <w:szCs w:val="24"/>
        </w:rPr>
        <w:t xml:space="preserve"> and will exert </w:t>
      </w:r>
      <w:r>
        <w:rPr>
          <w:rFonts w:ascii="Garamond" w:hAnsi="Garamond"/>
          <w:bCs/>
          <w:sz w:val="24"/>
          <w:szCs w:val="24"/>
        </w:rPr>
        <w:t xml:space="preserve">greater pressure to further the right to education. </w:t>
      </w:r>
      <w:r w:rsidR="00506502">
        <w:rPr>
          <w:rFonts w:ascii="Garamond" w:hAnsi="Garamond"/>
          <w:bCs/>
          <w:sz w:val="24"/>
          <w:szCs w:val="24"/>
        </w:rPr>
        <w:t>In our view</w:t>
      </w:r>
      <w:r w:rsidR="00EA054B">
        <w:rPr>
          <w:rFonts w:ascii="Garamond" w:hAnsi="Garamond"/>
          <w:bCs/>
          <w:sz w:val="24"/>
          <w:szCs w:val="24"/>
        </w:rPr>
        <w:t>,</w:t>
      </w:r>
      <w:r w:rsidR="00506502">
        <w:rPr>
          <w:rFonts w:ascii="Garamond" w:hAnsi="Garamond"/>
          <w:bCs/>
          <w:sz w:val="24"/>
          <w:szCs w:val="24"/>
        </w:rPr>
        <w:t xml:space="preserve"> there are few n</w:t>
      </w:r>
      <w:r w:rsidR="00EA054B">
        <w:rPr>
          <w:rFonts w:ascii="Garamond" w:hAnsi="Garamond"/>
          <w:bCs/>
          <w:sz w:val="24"/>
          <w:szCs w:val="24"/>
        </w:rPr>
        <w:t>ational coalitions</w:t>
      </w:r>
      <w:r w:rsidR="00506502">
        <w:rPr>
          <w:rFonts w:ascii="Garamond" w:hAnsi="Garamond"/>
          <w:bCs/>
          <w:sz w:val="24"/>
          <w:szCs w:val="24"/>
        </w:rPr>
        <w:t xml:space="preserve"> under the Global Campaign for Education (GCE) umbrella </w:t>
      </w:r>
      <w:r w:rsidR="00944425">
        <w:rPr>
          <w:rFonts w:ascii="Garamond" w:hAnsi="Garamond"/>
          <w:bCs/>
          <w:sz w:val="24"/>
          <w:szCs w:val="24"/>
        </w:rPr>
        <w:t xml:space="preserve">for </w:t>
      </w:r>
      <w:r w:rsidR="00506502">
        <w:rPr>
          <w:rFonts w:ascii="Garamond" w:hAnsi="Garamond"/>
          <w:bCs/>
          <w:sz w:val="24"/>
          <w:szCs w:val="24"/>
        </w:rPr>
        <w:t xml:space="preserve">which this is true. Our analysis is that the primary orientation of the GCE to </w:t>
      </w:r>
      <w:r w:rsidR="00EA054B">
        <w:rPr>
          <w:rFonts w:ascii="Garamond" w:hAnsi="Garamond"/>
          <w:bCs/>
          <w:sz w:val="24"/>
          <w:szCs w:val="24"/>
        </w:rPr>
        <w:t>the global education agenda creates</w:t>
      </w:r>
      <w:r w:rsidR="00506502">
        <w:rPr>
          <w:rFonts w:ascii="Garamond" w:hAnsi="Garamond"/>
          <w:bCs/>
          <w:sz w:val="24"/>
          <w:szCs w:val="24"/>
        </w:rPr>
        <w:t xml:space="preserve"> an upward orientati</w:t>
      </w:r>
      <w:r w:rsidR="00EA054B">
        <w:rPr>
          <w:rFonts w:ascii="Garamond" w:hAnsi="Garamond"/>
          <w:bCs/>
          <w:sz w:val="24"/>
          <w:szCs w:val="24"/>
        </w:rPr>
        <w:t xml:space="preserve">on through its ranks: an aspiration to be a delegate on ever-higher structures. This is </w:t>
      </w:r>
      <w:r w:rsidR="00506502">
        <w:rPr>
          <w:rFonts w:ascii="Garamond" w:hAnsi="Garamond"/>
          <w:bCs/>
          <w:sz w:val="24"/>
          <w:szCs w:val="24"/>
        </w:rPr>
        <w:t xml:space="preserve">opposite </w:t>
      </w:r>
      <w:r w:rsidR="00E956DD">
        <w:rPr>
          <w:rFonts w:ascii="Garamond" w:hAnsi="Garamond"/>
          <w:bCs/>
          <w:sz w:val="24"/>
          <w:szCs w:val="24"/>
        </w:rPr>
        <w:t>of</w:t>
      </w:r>
      <w:r w:rsidR="00506502">
        <w:rPr>
          <w:rFonts w:ascii="Garamond" w:hAnsi="Garamond"/>
          <w:bCs/>
          <w:sz w:val="24"/>
          <w:szCs w:val="24"/>
        </w:rPr>
        <w:t xml:space="preserve"> the grassroots orientation we </w:t>
      </w:r>
      <w:r w:rsidR="00EA054B">
        <w:rPr>
          <w:rFonts w:ascii="Garamond" w:hAnsi="Garamond"/>
          <w:bCs/>
          <w:sz w:val="24"/>
          <w:szCs w:val="24"/>
        </w:rPr>
        <w:t>want</w:t>
      </w:r>
      <w:r w:rsidR="00506502">
        <w:rPr>
          <w:rFonts w:ascii="Garamond" w:hAnsi="Garamond"/>
          <w:bCs/>
          <w:sz w:val="24"/>
          <w:szCs w:val="24"/>
        </w:rPr>
        <w:t xml:space="preserve"> to support. </w:t>
      </w:r>
      <w:r w:rsidR="00EA054B">
        <w:rPr>
          <w:rFonts w:ascii="Garamond" w:hAnsi="Garamond"/>
          <w:bCs/>
          <w:sz w:val="24"/>
          <w:szCs w:val="24"/>
        </w:rPr>
        <w:t>This realisation has</w:t>
      </w:r>
      <w:r w:rsidR="00E956DD">
        <w:rPr>
          <w:rFonts w:ascii="Garamond" w:hAnsi="Garamond"/>
          <w:bCs/>
          <w:sz w:val="24"/>
          <w:szCs w:val="24"/>
        </w:rPr>
        <w:t xml:space="preserve"> led us to be selective in choosing partners among the nation coalitions (and</w:t>
      </w:r>
      <w:r w:rsidR="00EA054B">
        <w:rPr>
          <w:rFonts w:ascii="Garamond" w:hAnsi="Garamond"/>
          <w:bCs/>
          <w:sz w:val="24"/>
          <w:szCs w:val="24"/>
        </w:rPr>
        <w:t>,</w:t>
      </w:r>
      <w:r w:rsidR="00E956DD">
        <w:rPr>
          <w:rFonts w:ascii="Garamond" w:hAnsi="Garamond"/>
          <w:bCs/>
          <w:sz w:val="24"/>
          <w:szCs w:val="24"/>
        </w:rPr>
        <w:t xml:space="preserve"> for that matter</w:t>
      </w:r>
      <w:r w:rsidR="00EA054B">
        <w:rPr>
          <w:rFonts w:ascii="Garamond" w:hAnsi="Garamond"/>
          <w:bCs/>
          <w:sz w:val="24"/>
          <w:szCs w:val="24"/>
        </w:rPr>
        <w:t>,</w:t>
      </w:r>
      <w:r w:rsidR="00E956DD">
        <w:rPr>
          <w:rFonts w:ascii="Garamond" w:hAnsi="Garamond"/>
          <w:bCs/>
          <w:sz w:val="24"/>
          <w:szCs w:val="24"/>
        </w:rPr>
        <w:t xml:space="preserve"> the regional coalition structures). </w:t>
      </w:r>
      <w:r w:rsidR="0028675E">
        <w:rPr>
          <w:rFonts w:ascii="Garamond" w:hAnsi="Garamond"/>
          <w:bCs/>
          <w:sz w:val="24"/>
          <w:szCs w:val="24"/>
        </w:rPr>
        <w:t xml:space="preserve">This section reviews our support for the </w:t>
      </w:r>
      <w:r w:rsidR="00694B0D">
        <w:rPr>
          <w:rFonts w:ascii="Garamond" w:hAnsi="Garamond"/>
          <w:bCs/>
          <w:sz w:val="24"/>
          <w:szCs w:val="24"/>
        </w:rPr>
        <w:t>Brazilian Campaign on the Right to Education (BCRE) –</w:t>
      </w:r>
      <w:r w:rsidR="00694B0D" w:rsidRPr="0028675E">
        <w:rPr>
          <w:rFonts w:ascii="Garamond" w:hAnsi="Garamond"/>
          <w:bCs/>
          <w:i/>
          <w:sz w:val="24"/>
          <w:szCs w:val="24"/>
        </w:rPr>
        <w:t xml:space="preserve"> </w:t>
      </w:r>
      <w:proofErr w:type="spellStart"/>
      <w:r w:rsidR="0028675E" w:rsidRPr="0028675E">
        <w:rPr>
          <w:rFonts w:ascii="Garamond" w:hAnsi="Garamond"/>
          <w:bCs/>
          <w:i/>
          <w:sz w:val="24"/>
          <w:szCs w:val="24"/>
        </w:rPr>
        <w:t>Campanha</w:t>
      </w:r>
      <w:proofErr w:type="spellEnd"/>
      <w:r w:rsidR="0028675E" w:rsidRPr="0028675E">
        <w:rPr>
          <w:rFonts w:ascii="Garamond" w:hAnsi="Garamond"/>
          <w:bCs/>
          <w:i/>
          <w:sz w:val="24"/>
          <w:szCs w:val="24"/>
        </w:rPr>
        <w:t xml:space="preserve"> Nacional </w:t>
      </w:r>
      <w:proofErr w:type="spellStart"/>
      <w:r w:rsidR="0028675E" w:rsidRPr="0028675E">
        <w:rPr>
          <w:rFonts w:ascii="Garamond" w:hAnsi="Garamond"/>
          <w:bCs/>
          <w:i/>
          <w:sz w:val="24"/>
          <w:szCs w:val="24"/>
        </w:rPr>
        <w:t>pelo</w:t>
      </w:r>
      <w:proofErr w:type="spellEnd"/>
      <w:r w:rsidR="0028675E" w:rsidRPr="0028675E">
        <w:rPr>
          <w:rFonts w:ascii="Garamond" w:hAnsi="Garamond"/>
          <w:bCs/>
          <w:i/>
          <w:sz w:val="24"/>
          <w:szCs w:val="24"/>
        </w:rPr>
        <w:t xml:space="preserve"> </w:t>
      </w:r>
      <w:proofErr w:type="spellStart"/>
      <w:r w:rsidR="0028675E" w:rsidRPr="0028675E">
        <w:rPr>
          <w:rFonts w:ascii="Garamond" w:hAnsi="Garamond"/>
          <w:bCs/>
          <w:i/>
          <w:sz w:val="24"/>
          <w:szCs w:val="24"/>
        </w:rPr>
        <w:t>Direito</w:t>
      </w:r>
      <w:proofErr w:type="spellEnd"/>
      <w:r w:rsidR="0028675E" w:rsidRPr="0028675E">
        <w:rPr>
          <w:rFonts w:ascii="Garamond" w:hAnsi="Garamond"/>
          <w:bCs/>
          <w:i/>
          <w:sz w:val="24"/>
          <w:szCs w:val="24"/>
        </w:rPr>
        <w:t xml:space="preserve"> à </w:t>
      </w:r>
      <w:proofErr w:type="spellStart"/>
      <w:r w:rsidR="0028675E" w:rsidRPr="0028675E">
        <w:rPr>
          <w:rFonts w:ascii="Garamond" w:hAnsi="Garamond"/>
          <w:bCs/>
          <w:i/>
          <w:sz w:val="24"/>
          <w:szCs w:val="24"/>
        </w:rPr>
        <w:t>Educação</w:t>
      </w:r>
      <w:proofErr w:type="spellEnd"/>
      <w:r w:rsidR="0028675E" w:rsidRPr="0028675E">
        <w:rPr>
          <w:rFonts w:ascii="Garamond" w:hAnsi="Garamond"/>
          <w:bCs/>
          <w:sz w:val="24"/>
          <w:szCs w:val="24"/>
        </w:rPr>
        <w:t xml:space="preserve">, </w:t>
      </w:r>
      <w:r w:rsidR="00694B0D">
        <w:rPr>
          <w:rFonts w:ascii="Garamond" w:hAnsi="Garamond"/>
          <w:bCs/>
          <w:sz w:val="24"/>
          <w:szCs w:val="24"/>
        </w:rPr>
        <w:t xml:space="preserve">the South </w:t>
      </w:r>
      <w:proofErr w:type="spellStart"/>
      <w:r w:rsidR="00694B0D">
        <w:rPr>
          <w:rFonts w:ascii="Garamond" w:hAnsi="Garamond"/>
          <w:bCs/>
          <w:sz w:val="24"/>
          <w:szCs w:val="24"/>
        </w:rPr>
        <w:t>South</w:t>
      </w:r>
      <w:proofErr w:type="spellEnd"/>
      <w:r w:rsidR="00694B0D">
        <w:rPr>
          <w:rFonts w:ascii="Garamond" w:hAnsi="Garamond"/>
          <w:bCs/>
          <w:sz w:val="24"/>
          <w:szCs w:val="24"/>
        </w:rPr>
        <w:t xml:space="preserve"> Cooperation Project (SSCP), the Cape Verde National Coalition on Education for All (</w:t>
      </w:r>
      <w:r w:rsidR="00694B0D" w:rsidRPr="0028675E">
        <w:rPr>
          <w:rFonts w:ascii="Garamond" w:hAnsi="Garamond"/>
          <w:bCs/>
          <w:sz w:val="24"/>
          <w:szCs w:val="24"/>
        </w:rPr>
        <w:t>RNCEPT)</w:t>
      </w:r>
      <w:r w:rsidR="00694B0D">
        <w:rPr>
          <w:rFonts w:ascii="Garamond" w:hAnsi="Garamond"/>
          <w:bCs/>
          <w:sz w:val="24"/>
          <w:szCs w:val="24"/>
        </w:rPr>
        <w:t xml:space="preserve"> – </w:t>
      </w:r>
      <w:proofErr w:type="spellStart"/>
      <w:r w:rsidR="0028675E" w:rsidRPr="0028675E">
        <w:rPr>
          <w:rFonts w:ascii="Garamond" w:hAnsi="Garamond"/>
          <w:bCs/>
          <w:i/>
          <w:sz w:val="24"/>
          <w:szCs w:val="24"/>
        </w:rPr>
        <w:t>Rede</w:t>
      </w:r>
      <w:proofErr w:type="spellEnd"/>
      <w:r w:rsidR="0028675E" w:rsidRPr="0028675E">
        <w:rPr>
          <w:rFonts w:ascii="Garamond" w:hAnsi="Garamond"/>
          <w:bCs/>
          <w:i/>
          <w:sz w:val="24"/>
          <w:szCs w:val="24"/>
        </w:rPr>
        <w:t xml:space="preserve"> Nacional de </w:t>
      </w:r>
      <w:proofErr w:type="spellStart"/>
      <w:r w:rsidR="0028675E" w:rsidRPr="0028675E">
        <w:rPr>
          <w:rFonts w:ascii="Garamond" w:hAnsi="Garamond"/>
          <w:bCs/>
          <w:i/>
          <w:sz w:val="24"/>
          <w:szCs w:val="24"/>
        </w:rPr>
        <w:t>Campanha</w:t>
      </w:r>
      <w:proofErr w:type="spellEnd"/>
      <w:r w:rsidR="0028675E" w:rsidRPr="0028675E">
        <w:rPr>
          <w:rFonts w:ascii="Garamond" w:hAnsi="Garamond"/>
          <w:bCs/>
          <w:i/>
          <w:sz w:val="24"/>
          <w:szCs w:val="24"/>
        </w:rPr>
        <w:t xml:space="preserve"> de </w:t>
      </w:r>
      <w:proofErr w:type="spellStart"/>
      <w:r w:rsidR="0028675E" w:rsidRPr="0028675E">
        <w:rPr>
          <w:rFonts w:ascii="Garamond" w:hAnsi="Garamond"/>
          <w:bCs/>
          <w:i/>
          <w:sz w:val="24"/>
          <w:szCs w:val="24"/>
        </w:rPr>
        <w:t>Educação</w:t>
      </w:r>
      <w:proofErr w:type="spellEnd"/>
      <w:r w:rsidR="0028675E" w:rsidRPr="0028675E">
        <w:rPr>
          <w:rFonts w:ascii="Garamond" w:hAnsi="Garamond"/>
          <w:bCs/>
          <w:i/>
          <w:sz w:val="24"/>
          <w:szCs w:val="24"/>
        </w:rPr>
        <w:t xml:space="preserve"> para </w:t>
      </w:r>
      <w:proofErr w:type="spellStart"/>
      <w:r w:rsidR="0028675E" w:rsidRPr="0028675E">
        <w:rPr>
          <w:rFonts w:ascii="Garamond" w:hAnsi="Garamond"/>
          <w:bCs/>
          <w:i/>
          <w:sz w:val="24"/>
          <w:szCs w:val="24"/>
        </w:rPr>
        <w:t>Todos</w:t>
      </w:r>
      <w:proofErr w:type="spellEnd"/>
      <w:r w:rsidR="00694B0D">
        <w:rPr>
          <w:rFonts w:ascii="Garamond" w:hAnsi="Garamond"/>
          <w:bCs/>
          <w:sz w:val="24"/>
          <w:szCs w:val="24"/>
        </w:rPr>
        <w:t xml:space="preserve">, </w:t>
      </w:r>
      <w:r w:rsidR="0028675E" w:rsidRPr="0028675E">
        <w:rPr>
          <w:rFonts w:ascii="Garamond" w:hAnsi="Garamond"/>
          <w:bCs/>
          <w:sz w:val="24"/>
          <w:szCs w:val="24"/>
        </w:rPr>
        <w:t>and the Pakistan Coalition for Education (PCE).</w:t>
      </w:r>
    </w:p>
    <w:p w14:paraId="0F21DABE" w14:textId="25C19344" w:rsidR="009A6710" w:rsidRDefault="00EA28CA" w:rsidP="00BE4B9E">
      <w:pPr>
        <w:spacing w:before="240" w:line="276" w:lineRule="auto"/>
        <w:rPr>
          <w:rFonts w:ascii="Garamond" w:hAnsi="Garamond"/>
          <w:bCs/>
          <w:sz w:val="24"/>
          <w:szCs w:val="24"/>
        </w:rPr>
      </w:pPr>
      <w:r w:rsidRPr="00EA28CA">
        <w:rPr>
          <w:rFonts w:ascii="Garamond" w:hAnsi="Garamond"/>
          <w:bCs/>
          <w:sz w:val="24"/>
          <w:szCs w:val="24"/>
          <w:u w:val="single"/>
        </w:rPr>
        <w:t xml:space="preserve">South </w:t>
      </w:r>
      <w:proofErr w:type="spellStart"/>
      <w:r w:rsidRPr="00EA28CA">
        <w:rPr>
          <w:rFonts w:ascii="Garamond" w:hAnsi="Garamond"/>
          <w:bCs/>
          <w:sz w:val="24"/>
          <w:szCs w:val="24"/>
          <w:u w:val="single"/>
        </w:rPr>
        <w:t>South</w:t>
      </w:r>
      <w:proofErr w:type="spellEnd"/>
      <w:r w:rsidRPr="00EA28CA">
        <w:rPr>
          <w:rFonts w:ascii="Garamond" w:hAnsi="Garamond"/>
          <w:bCs/>
          <w:sz w:val="24"/>
          <w:szCs w:val="24"/>
          <w:u w:val="single"/>
        </w:rPr>
        <w:t xml:space="preserve"> Cooperation Project (SSCP</w:t>
      </w:r>
      <w:r>
        <w:rPr>
          <w:rFonts w:ascii="Garamond" w:hAnsi="Garamond"/>
          <w:bCs/>
          <w:sz w:val="24"/>
          <w:szCs w:val="24"/>
        </w:rPr>
        <w:t>)</w:t>
      </w:r>
      <w:r w:rsidR="00EA054B">
        <w:rPr>
          <w:rFonts w:ascii="Garamond" w:hAnsi="Garamond"/>
          <w:bCs/>
          <w:sz w:val="24"/>
          <w:szCs w:val="24"/>
        </w:rPr>
        <w:t>: W</w:t>
      </w:r>
      <w:r>
        <w:rPr>
          <w:rFonts w:ascii="Garamond" w:hAnsi="Garamond"/>
          <w:bCs/>
          <w:sz w:val="24"/>
          <w:szCs w:val="24"/>
        </w:rPr>
        <w:t xml:space="preserve">e were attracted to the </w:t>
      </w:r>
      <w:r w:rsidR="00E956DD">
        <w:rPr>
          <w:rFonts w:ascii="Garamond" w:hAnsi="Garamond"/>
          <w:bCs/>
          <w:sz w:val="24"/>
          <w:szCs w:val="24"/>
        </w:rPr>
        <w:t xml:space="preserve">Brazilian </w:t>
      </w:r>
      <w:r w:rsidR="00694B0D">
        <w:rPr>
          <w:rFonts w:ascii="Garamond" w:hAnsi="Garamond"/>
          <w:bCs/>
          <w:sz w:val="24"/>
          <w:szCs w:val="24"/>
        </w:rPr>
        <w:t>coalition, BCRE,</w:t>
      </w:r>
      <w:r w:rsidR="00EA054B">
        <w:rPr>
          <w:rFonts w:ascii="Garamond" w:hAnsi="Garamond"/>
          <w:bCs/>
          <w:sz w:val="24"/>
          <w:szCs w:val="24"/>
        </w:rPr>
        <w:t xml:space="preserve"> because of its</w:t>
      </w:r>
      <w:r w:rsidR="00E956DD">
        <w:rPr>
          <w:rFonts w:ascii="Garamond" w:hAnsi="Garamond"/>
          <w:bCs/>
          <w:sz w:val="24"/>
          <w:szCs w:val="24"/>
        </w:rPr>
        <w:t xml:space="preserve"> reputation for effective campaigning at national level and because we were seeking a partner to help strengt</w:t>
      </w:r>
      <w:r w:rsidR="00EA054B">
        <w:rPr>
          <w:rFonts w:ascii="Garamond" w:hAnsi="Garamond"/>
          <w:bCs/>
          <w:sz w:val="24"/>
          <w:szCs w:val="24"/>
        </w:rPr>
        <w:t xml:space="preserve">hen the weak national </w:t>
      </w:r>
      <w:r w:rsidR="00E956DD">
        <w:rPr>
          <w:rFonts w:ascii="Garamond" w:hAnsi="Garamond"/>
          <w:bCs/>
          <w:sz w:val="24"/>
          <w:szCs w:val="24"/>
        </w:rPr>
        <w:t>coalitions in African Lusophone countries</w:t>
      </w:r>
      <w:r w:rsidR="00EA054B">
        <w:rPr>
          <w:rFonts w:ascii="Garamond" w:hAnsi="Garamond"/>
          <w:bCs/>
          <w:sz w:val="24"/>
          <w:szCs w:val="24"/>
        </w:rPr>
        <w:t xml:space="preserve"> to</w:t>
      </w:r>
      <w:r w:rsidR="00694B0D">
        <w:rPr>
          <w:rFonts w:ascii="Garamond" w:hAnsi="Garamond"/>
          <w:bCs/>
          <w:sz w:val="24"/>
          <w:szCs w:val="24"/>
        </w:rPr>
        <w:t xml:space="preserve"> build their voice </w:t>
      </w:r>
      <w:r w:rsidR="00357CCD">
        <w:rPr>
          <w:rFonts w:ascii="Garamond" w:hAnsi="Garamond"/>
          <w:bCs/>
          <w:sz w:val="24"/>
          <w:szCs w:val="24"/>
        </w:rPr>
        <w:t>within the</w:t>
      </w:r>
      <w:r w:rsidR="00694B0D">
        <w:rPr>
          <w:rFonts w:ascii="Garamond" w:hAnsi="Garamond"/>
          <w:bCs/>
          <w:sz w:val="24"/>
          <w:szCs w:val="24"/>
        </w:rPr>
        <w:t xml:space="preserve"> African Network Campaign on Education for All (ANCEFA)</w:t>
      </w:r>
      <w:r w:rsidR="001D26C5">
        <w:rPr>
          <w:rFonts w:ascii="Garamond" w:hAnsi="Garamond"/>
          <w:bCs/>
          <w:sz w:val="24"/>
          <w:szCs w:val="24"/>
        </w:rPr>
        <w:t>,</w:t>
      </w:r>
      <w:r w:rsidR="00694B0D">
        <w:rPr>
          <w:rFonts w:ascii="Garamond" w:hAnsi="Garamond"/>
          <w:bCs/>
          <w:sz w:val="24"/>
          <w:szCs w:val="24"/>
        </w:rPr>
        <w:t xml:space="preserve"> </w:t>
      </w:r>
      <w:r w:rsidR="00357CCD">
        <w:rPr>
          <w:rFonts w:ascii="Garamond" w:hAnsi="Garamond"/>
          <w:bCs/>
          <w:sz w:val="24"/>
          <w:szCs w:val="24"/>
        </w:rPr>
        <w:t>the</w:t>
      </w:r>
      <w:r w:rsidR="00E956DD">
        <w:rPr>
          <w:rFonts w:ascii="Garamond" w:hAnsi="Garamond"/>
          <w:bCs/>
          <w:sz w:val="24"/>
          <w:szCs w:val="24"/>
        </w:rPr>
        <w:t xml:space="preserve"> </w:t>
      </w:r>
      <w:r w:rsidR="00944425">
        <w:rPr>
          <w:rFonts w:ascii="Garamond" w:hAnsi="Garamond"/>
          <w:bCs/>
          <w:sz w:val="24"/>
          <w:szCs w:val="24"/>
        </w:rPr>
        <w:t xml:space="preserve">regional </w:t>
      </w:r>
      <w:r w:rsidR="00E956DD">
        <w:rPr>
          <w:rFonts w:ascii="Garamond" w:hAnsi="Garamond"/>
          <w:bCs/>
          <w:sz w:val="24"/>
          <w:szCs w:val="24"/>
        </w:rPr>
        <w:t xml:space="preserve">GCE </w:t>
      </w:r>
      <w:r w:rsidR="00357CCD">
        <w:rPr>
          <w:rFonts w:ascii="Garamond" w:hAnsi="Garamond"/>
          <w:bCs/>
          <w:sz w:val="24"/>
          <w:szCs w:val="24"/>
        </w:rPr>
        <w:t>regional coalition</w:t>
      </w:r>
      <w:r w:rsidR="00E956DD">
        <w:rPr>
          <w:rFonts w:ascii="Garamond" w:hAnsi="Garamond"/>
          <w:bCs/>
          <w:sz w:val="24"/>
          <w:szCs w:val="24"/>
        </w:rPr>
        <w:t xml:space="preserve">. </w:t>
      </w:r>
      <w:r w:rsidR="0028675E">
        <w:rPr>
          <w:rFonts w:ascii="Garamond" w:hAnsi="Garamond"/>
          <w:bCs/>
          <w:sz w:val="24"/>
          <w:szCs w:val="24"/>
        </w:rPr>
        <w:t xml:space="preserve">We </w:t>
      </w:r>
      <w:r w:rsidR="001D26C5">
        <w:rPr>
          <w:rFonts w:ascii="Garamond" w:hAnsi="Garamond"/>
          <w:bCs/>
          <w:sz w:val="24"/>
          <w:szCs w:val="24"/>
        </w:rPr>
        <w:t>began</w:t>
      </w:r>
      <w:r w:rsidR="0028675E">
        <w:rPr>
          <w:rFonts w:ascii="Garamond" w:hAnsi="Garamond"/>
          <w:bCs/>
          <w:sz w:val="24"/>
          <w:szCs w:val="24"/>
        </w:rPr>
        <w:t xml:space="preserve"> the </w:t>
      </w:r>
      <w:r w:rsidR="00105252">
        <w:rPr>
          <w:rFonts w:ascii="Garamond" w:hAnsi="Garamond"/>
          <w:bCs/>
          <w:sz w:val="24"/>
          <w:szCs w:val="24"/>
        </w:rPr>
        <w:t>SSCP</w:t>
      </w:r>
      <w:r w:rsidR="0028675E">
        <w:rPr>
          <w:rFonts w:ascii="Garamond" w:hAnsi="Garamond"/>
          <w:bCs/>
          <w:sz w:val="24"/>
          <w:szCs w:val="24"/>
        </w:rPr>
        <w:t xml:space="preserve"> as a joint initiative with BRCE </w:t>
      </w:r>
      <w:r w:rsidR="001D26C5">
        <w:rPr>
          <w:rFonts w:ascii="Garamond" w:hAnsi="Garamond"/>
          <w:bCs/>
          <w:sz w:val="24"/>
          <w:szCs w:val="24"/>
        </w:rPr>
        <w:t>in</w:t>
      </w:r>
      <w:r w:rsidR="00105252">
        <w:rPr>
          <w:rFonts w:ascii="Garamond" w:hAnsi="Garamond"/>
          <w:bCs/>
          <w:sz w:val="24"/>
          <w:szCs w:val="24"/>
        </w:rPr>
        <w:t xml:space="preserve"> November 2010</w:t>
      </w:r>
      <w:r w:rsidR="00357CCD">
        <w:rPr>
          <w:rFonts w:ascii="Garamond" w:hAnsi="Garamond"/>
          <w:bCs/>
          <w:sz w:val="24"/>
          <w:szCs w:val="24"/>
        </w:rPr>
        <w:t>. T</w:t>
      </w:r>
      <w:r>
        <w:rPr>
          <w:rFonts w:ascii="Garamond" w:hAnsi="Garamond"/>
          <w:bCs/>
          <w:sz w:val="24"/>
          <w:szCs w:val="24"/>
        </w:rPr>
        <w:t xml:space="preserve">he </w:t>
      </w:r>
      <w:r w:rsidR="00105252">
        <w:rPr>
          <w:rFonts w:ascii="Garamond" w:hAnsi="Garamond"/>
          <w:bCs/>
          <w:sz w:val="24"/>
          <w:szCs w:val="24"/>
        </w:rPr>
        <w:t xml:space="preserve">Brazilian </w:t>
      </w:r>
      <w:r>
        <w:rPr>
          <w:rFonts w:ascii="Garamond" w:hAnsi="Garamond"/>
          <w:bCs/>
          <w:sz w:val="24"/>
          <w:szCs w:val="24"/>
        </w:rPr>
        <w:t>coalition</w:t>
      </w:r>
      <w:r w:rsidR="00357CCD">
        <w:rPr>
          <w:rFonts w:ascii="Garamond" w:hAnsi="Garamond"/>
          <w:bCs/>
          <w:sz w:val="24"/>
          <w:szCs w:val="24"/>
        </w:rPr>
        <w:t xml:space="preserve"> was </w:t>
      </w:r>
      <w:r>
        <w:rPr>
          <w:rFonts w:ascii="Garamond" w:hAnsi="Garamond"/>
          <w:bCs/>
          <w:sz w:val="24"/>
          <w:szCs w:val="24"/>
        </w:rPr>
        <w:t>an inspiration for the nascent Af</w:t>
      </w:r>
      <w:r w:rsidR="00105252">
        <w:rPr>
          <w:rFonts w:ascii="Garamond" w:hAnsi="Garamond"/>
          <w:bCs/>
          <w:sz w:val="24"/>
          <w:szCs w:val="24"/>
        </w:rPr>
        <w:t xml:space="preserve">rican Lusophone </w:t>
      </w:r>
      <w:r w:rsidR="00105252" w:rsidRPr="00E435B5">
        <w:rPr>
          <w:rFonts w:ascii="Garamond" w:hAnsi="Garamond"/>
          <w:bCs/>
          <w:sz w:val="24"/>
          <w:szCs w:val="24"/>
        </w:rPr>
        <w:t>coalitions</w:t>
      </w:r>
      <w:r w:rsidR="000C28AA">
        <w:rPr>
          <w:rFonts w:ascii="Garamond" w:hAnsi="Garamond"/>
          <w:bCs/>
          <w:sz w:val="24"/>
          <w:szCs w:val="24"/>
        </w:rPr>
        <w:t xml:space="preserve"> and</w:t>
      </w:r>
      <w:r w:rsidR="00105252" w:rsidRPr="00E435B5">
        <w:rPr>
          <w:rFonts w:ascii="Garamond" w:hAnsi="Garamond"/>
          <w:bCs/>
          <w:sz w:val="24"/>
          <w:szCs w:val="24"/>
        </w:rPr>
        <w:t xml:space="preserve"> it </w:t>
      </w:r>
      <w:r w:rsidRPr="00E435B5">
        <w:rPr>
          <w:rFonts w:ascii="Garamond" w:hAnsi="Garamond"/>
          <w:bCs/>
          <w:sz w:val="24"/>
          <w:szCs w:val="24"/>
        </w:rPr>
        <w:t xml:space="preserve">had the </w:t>
      </w:r>
      <w:r w:rsidR="00357CCD" w:rsidRPr="00E435B5">
        <w:rPr>
          <w:rFonts w:ascii="Garamond" w:hAnsi="Garamond"/>
          <w:bCs/>
          <w:sz w:val="24"/>
          <w:szCs w:val="24"/>
        </w:rPr>
        <w:t xml:space="preserve">organising experience </w:t>
      </w:r>
      <w:r w:rsidR="00357CCD">
        <w:rPr>
          <w:rFonts w:ascii="Garamond" w:hAnsi="Garamond"/>
          <w:bCs/>
          <w:sz w:val="24"/>
          <w:szCs w:val="24"/>
        </w:rPr>
        <w:t>and language skills we were looking for</w:t>
      </w:r>
      <w:r w:rsidR="00105252" w:rsidRPr="00E435B5">
        <w:rPr>
          <w:rFonts w:ascii="Garamond" w:hAnsi="Garamond"/>
          <w:bCs/>
          <w:sz w:val="24"/>
          <w:szCs w:val="24"/>
        </w:rPr>
        <w:t xml:space="preserve">. </w:t>
      </w:r>
      <w:r w:rsidR="009A4378" w:rsidRPr="00E435B5">
        <w:rPr>
          <w:rFonts w:ascii="Garamond" w:hAnsi="Garamond"/>
          <w:bCs/>
          <w:sz w:val="24"/>
          <w:szCs w:val="24"/>
          <w:lang w:val="en-US"/>
        </w:rPr>
        <w:t xml:space="preserve">The objective was to support </w:t>
      </w:r>
      <w:r w:rsidR="000C28AA">
        <w:rPr>
          <w:rFonts w:ascii="Garamond" w:hAnsi="Garamond"/>
          <w:bCs/>
          <w:sz w:val="24"/>
          <w:szCs w:val="24"/>
          <w:lang w:val="en-US"/>
        </w:rPr>
        <w:t xml:space="preserve">the development </w:t>
      </w:r>
      <w:r w:rsidR="009A4378" w:rsidRPr="00E435B5">
        <w:rPr>
          <w:rFonts w:ascii="Garamond" w:hAnsi="Garamond"/>
          <w:bCs/>
          <w:sz w:val="24"/>
          <w:szCs w:val="24"/>
          <w:lang w:val="en-US"/>
        </w:rPr>
        <w:t>strategies</w:t>
      </w:r>
      <w:r w:rsidR="000C28AA">
        <w:rPr>
          <w:rFonts w:ascii="Garamond" w:hAnsi="Garamond"/>
          <w:bCs/>
          <w:sz w:val="24"/>
          <w:szCs w:val="24"/>
          <w:lang w:val="en-US"/>
        </w:rPr>
        <w:t xml:space="preserve"> for the coalitions’</w:t>
      </w:r>
      <w:r w:rsidR="009A4378" w:rsidRPr="00E435B5">
        <w:rPr>
          <w:rFonts w:ascii="Garamond" w:hAnsi="Garamond"/>
          <w:bCs/>
          <w:sz w:val="24"/>
          <w:szCs w:val="24"/>
          <w:lang w:val="en-US"/>
        </w:rPr>
        <w:t xml:space="preserve"> </w:t>
      </w:r>
      <w:r w:rsidR="000C28AA">
        <w:rPr>
          <w:rFonts w:ascii="Garamond" w:hAnsi="Garamond"/>
          <w:bCs/>
          <w:sz w:val="24"/>
          <w:szCs w:val="24"/>
          <w:lang w:val="en-US"/>
        </w:rPr>
        <w:t>engagement with</w:t>
      </w:r>
      <w:r w:rsidR="009A4378" w:rsidRPr="00E435B5">
        <w:rPr>
          <w:rFonts w:ascii="Garamond" w:hAnsi="Garamond"/>
          <w:bCs/>
          <w:sz w:val="24"/>
          <w:szCs w:val="24"/>
          <w:lang w:val="en-US"/>
        </w:rPr>
        <w:t xml:space="preserve"> </w:t>
      </w:r>
      <w:r w:rsidR="000C28AA">
        <w:rPr>
          <w:rFonts w:ascii="Garamond" w:hAnsi="Garamond"/>
          <w:bCs/>
          <w:sz w:val="24"/>
          <w:szCs w:val="24"/>
          <w:lang w:val="en-US"/>
        </w:rPr>
        <w:t xml:space="preserve">their </w:t>
      </w:r>
      <w:r w:rsidR="009A4378" w:rsidRPr="00E435B5">
        <w:rPr>
          <w:rFonts w:ascii="Garamond" w:hAnsi="Garamond"/>
          <w:bCs/>
          <w:sz w:val="24"/>
          <w:szCs w:val="24"/>
          <w:lang w:val="en-US"/>
        </w:rPr>
        <w:t>governments to influenc</w:t>
      </w:r>
      <w:r w:rsidR="000C28AA">
        <w:rPr>
          <w:rFonts w:ascii="Garamond" w:hAnsi="Garamond"/>
          <w:bCs/>
          <w:sz w:val="24"/>
          <w:szCs w:val="24"/>
          <w:lang w:val="en-US"/>
        </w:rPr>
        <w:t>e</w:t>
      </w:r>
      <w:r w:rsidR="009A4378" w:rsidRPr="00E435B5">
        <w:rPr>
          <w:rFonts w:ascii="Garamond" w:hAnsi="Garamond"/>
          <w:bCs/>
          <w:sz w:val="24"/>
          <w:szCs w:val="24"/>
          <w:lang w:val="en-US"/>
        </w:rPr>
        <w:t xml:space="preserve"> education policy and provision</w:t>
      </w:r>
      <w:r w:rsidR="000C28AA">
        <w:rPr>
          <w:rFonts w:ascii="Garamond" w:hAnsi="Garamond"/>
          <w:bCs/>
          <w:sz w:val="24"/>
          <w:szCs w:val="24"/>
          <w:lang w:val="en-US"/>
        </w:rPr>
        <w:t xml:space="preserve"> </w:t>
      </w:r>
      <w:r w:rsidR="009A4378" w:rsidRPr="00E435B5">
        <w:rPr>
          <w:rFonts w:ascii="Garamond" w:hAnsi="Garamond"/>
          <w:bCs/>
          <w:sz w:val="24"/>
          <w:szCs w:val="24"/>
          <w:lang w:val="en-US"/>
        </w:rPr>
        <w:t xml:space="preserve">to </w:t>
      </w:r>
      <w:r w:rsidR="000C28AA">
        <w:rPr>
          <w:rFonts w:ascii="Garamond" w:hAnsi="Garamond"/>
          <w:bCs/>
          <w:sz w:val="24"/>
          <w:szCs w:val="24"/>
          <w:lang w:val="en-US"/>
        </w:rPr>
        <w:t>further</w:t>
      </w:r>
      <w:r w:rsidR="009A4378" w:rsidRPr="00E435B5">
        <w:rPr>
          <w:rFonts w:ascii="Garamond" w:hAnsi="Garamond"/>
          <w:bCs/>
          <w:sz w:val="24"/>
          <w:szCs w:val="24"/>
          <w:lang w:val="en-US"/>
        </w:rPr>
        <w:t xml:space="preserve"> the right to quality education. </w:t>
      </w:r>
    </w:p>
    <w:p w14:paraId="40F20B65" w14:textId="5ACF3398" w:rsidR="001D26C5" w:rsidRDefault="001350A5" w:rsidP="001D26C5">
      <w:pPr>
        <w:spacing w:line="276" w:lineRule="auto"/>
        <w:rPr>
          <w:rFonts w:ascii="Garamond" w:hAnsi="Garamond"/>
          <w:bCs/>
          <w:sz w:val="24"/>
          <w:szCs w:val="24"/>
        </w:rPr>
      </w:pPr>
      <w:r>
        <w:rPr>
          <w:rFonts w:ascii="Garamond" w:hAnsi="Garamond"/>
          <w:bCs/>
          <w:sz w:val="24"/>
          <w:szCs w:val="24"/>
          <w:lang w:val="en-US"/>
        </w:rPr>
        <w:t>The</w:t>
      </w:r>
      <w:r w:rsidR="001D26C5">
        <w:rPr>
          <w:rFonts w:ascii="Garamond" w:hAnsi="Garamond"/>
          <w:bCs/>
          <w:sz w:val="24"/>
          <w:szCs w:val="24"/>
          <w:lang w:val="en-US"/>
        </w:rPr>
        <w:t xml:space="preserve"> SSCP </w:t>
      </w:r>
      <w:r w:rsidR="000C28AA">
        <w:rPr>
          <w:rFonts w:ascii="Garamond" w:hAnsi="Garamond"/>
          <w:bCs/>
          <w:sz w:val="24"/>
          <w:szCs w:val="24"/>
          <w:lang w:val="en-US"/>
        </w:rPr>
        <w:t>has</w:t>
      </w:r>
      <w:r w:rsidR="001D26C5">
        <w:rPr>
          <w:rFonts w:ascii="Garamond" w:hAnsi="Garamond"/>
          <w:bCs/>
          <w:sz w:val="24"/>
          <w:szCs w:val="24"/>
          <w:lang w:val="en-US"/>
        </w:rPr>
        <w:t xml:space="preserve"> not su</w:t>
      </w:r>
      <w:r w:rsidR="009C46F5">
        <w:rPr>
          <w:rFonts w:ascii="Garamond" w:hAnsi="Garamond"/>
          <w:bCs/>
          <w:sz w:val="24"/>
          <w:szCs w:val="24"/>
          <w:lang w:val="en-US"/>
        </w:rPr>
        <w:t>cceed</w:t>
      </w:r>
      <w:r w:rsidR="000C28AA">
        <w:rPr>
          <w:rFonts w:ascii="Garamond" w:hAnsi="Garamond"/>
          <w:bCs/>
          <w:sz w:val="24"/>
          <w:szCs w:val="24"/>
          <w:lang w:val="en-US"/>
        </w:rPr>
        <w:t>ed</w:t>
      </w:r>
      <w:r w:rsidR="009C46F5">
        <w:rPr>
          <w:rFonts w:ascii="Garamond" w:hAnsi="Garamond"/>
          <w:bCs/>
          <w:sz w:val="24"/>
          <w:szCs w:val="24"/>
          <w:lang w:val="en-US"/>
        </w:rPr>
        <w:t xml:space="preserve"> </w:t>
      </w:r>
      <w:r w:rsidR="000C28AA">
        <w:rPr>
          <w:rFonts w:ascii="Garamond" w:hAnsi="Garamond"/>
          <w:bCs/>
          <w:sz w:val="24"/>
          <w:szCs w:val="24"/>
          <w:lang w:val="en-US"/>
        </w:rPr>
        <w:t xml:space="preserve">fully </w:t>
      </w:r>
      <w:r w:rsidR="009C46F5">
        <w:rPr>
          <w:rFonts w:ascii="Garamond" w:hAnsi="Garamond"/>
          <w:bCs/>
          <w:sz w:val="24"/>
          <w:szCs w:val="24"/>
          <w:lang w:val="en-US"/>
        </w:rPr>
        <w:t xml:space="preserve">in </w:t>
      </w:r>
      <w:r w:rsidR="000C28AA">
        <w:rPr>
          <w:rFonts w:ascii="Garamond" w:hAnsi="Garamond"/>
          <w:bCs/>
          <w:sz w:val="24"/>
          <w:szCs w:val="24"/>
          <w:lang w:val="en-US"/>
        </w:rPr>
        <w:t>this</w:t>
      </w:r>
      <w:r w:rsidR="009C46F5">
        <w:rPr>
          <w:rFonts w:ascii="Garamond" w:hAnsi="Garamond"/>
          <w:bCs/>
          <w:sz w:val="24"/>
          <w:szCs w:val="24"/>
          <w:lang w:val="en-US"/>
        </w:rPr>
        <w:t xml:space="preserve"> original objective</w:t>
      </w:r>
      <w:r w:rsidR="000C28AA">
        <w:rPr>
          <w:rFonts w:ascii="Garamond" w:hAnsi="Garamond"/>
          <w:bCs/>
          <w:sz w:val="24"/>
          <w:szCs w:val="24"/>
          <w:lang w:val="en-US"/>
        </w:rPr>
        <w:t xml:space="preserve">. </w:t>
      </w:r>
      <w:r w:rsidR="00626364">
        <w:rPr>
          <w:rFonts w:ascii="Garamond" w:hAnsi="Garamond"/>
          <w:bCs/>
          <w:sz w:val="24"/>
          <w:szCs w:val="24"/>
          <w:lang w:val="en-US"/>
        </w:rPr>
        <w:t>The project was</w:t>
      </w:r>
      <w:r w:rsidR="001D26C5" w:rsidRPr="001E4411">
        <w:rPr>
          <w:rFonts w:ascii="Garamond" w:hAnsi="Garamond"/>
          <w:bCs/>
          <w:sz w:val="24"/>
          <w:szCs w:val="24"/>
        </w:rPr>
        <w:t xml:space="preserve"> able to finalise advocacy strategies</w:t>
      </w:r>
      <w:r w:rsidR="001D26C5">
        <w:rPr>
          <w:rFonts w:ascii="Garamond" w:hAnsi="Garamond"/>
          <w:bCs/>
          <w:sz w:val="24"/>
          <w:szCs w:val="24"/>
        </w:rPr>
        <w:t xml:space="preserve"> in</w:t>
      </w:r>
      <w:r w:rsidR="001D26C5" w:rsidRPr="001E4411">
        <w:rPr>
          <w:rFonts w:ascii="Garamond" w:hAnsi="Garamond"/>
          <w:bCs/>
          <w:sz w:val="24"/>
          <w:szCs w:val="24"/>
        </w:rPr>
        <w:t xml:space="preserve"> Angola, Cape Verde and Mozambique</w:t>
      </w:r>
      <w:r w:rsidR="001D26C5">
        <w:rPr>
          <w:rFonts w:ascii="Garamond" w:hAnsi="Garamond"/>
          <w:bCs/>
          <w:sz w:val="24"/>
          <w:szCs w:val="24"/>
          <w:lang w:val="en-US"/>
        </w:rPr>
        <w:t xml:space="preserve"> with support</w:t>
      </w:r>
      <w:r w:rsidR="001D26C5" w:rsidRPr="006D027F">
        <w:rPr>
          <w:rFonts w:ascii="Garamond" w:hAnsi="Garamond"/>
          <w:bCs/>
          <w:sz w:val="24"/>
          <w:szCs w:val="24"/>
          <w:lang w:val="en-US"/>
        </w:rPr>
        <w:t xml:space="preserve"> </w:t>
      </w:r>
      <w:r w:rsidR="001D26C5">
        <w:rPr>
          <w:rFonts w:ascii="Garamond" w:hAnsi="Garamond"/>
          <w:bCs/>
          <w:sz w:val="24"/>
          <w:szCs w:val="24"/>
          <w:lang w:val="en-US"/>
        </w:rPr>
        <w:t>from</w:t>
      </w:r>
      <w:r w:rsidR="009C46F5">
        <w:rPr>
          <w:rFonts w:ascii="Garamond" w:hAnsi="Garamond"/>
          <w:bCs/>
          <w:sz w:val="24"/>
          <w:szCs w:val="24"/>
          <w:lang w:val="en-US"/>
        </w:rPr>
        <w:t xml:space="preserve"> </w:t>
      </w:r>
      <w:r w:rsidR="001D26C5" w:rsidRPr="006D027F">
        <w:rPr>
          <w:rFonts w:ascii="Garamond" w:hAnsi="Garamond"/>
          <w:bCs/>
          <w:sz w:val="24"/>
          <w:szCs w:val="24"/>
          <w:lang w:val="en-US"/>
        </w:rPr>
        <w:t xml:space="preserve">partners </w:t>
      </w:r>
      <w:r w:rsidR="001D26C5">
        <w:rPr>
          <w:rFonts w:ascii="Garamond" w:hAnsi="Garamond"/>
          <w:bCs/>
          <w:sz w:val="24"/>
          <w:szCs w:val="24"/>
          <w:lang w:val="en-US"/>
        </w:rPr>
        <w:t>in</w:t>
      </w:r>
      <w:r w:rsidR="001D26C5" w:rsidRPr="006D027F">
        <w:rPr>
          <w:rFonts w:ascii="Garamond" w:hAnsi="Garamond"/>
          <w:bCs/>
          <w:sz w:val="24"/>
          <w:szCs w:val="24"/>
          <w:lang w:val="en-US"/>
        </w:rPr>
        <w:t xml:space="preserve"> </w:t>
      </w:r>
      <w:r w:rsidR="001D26C5">
        <w:rPr>
          <w:rFonts w:ascii="Garamond" w:hAnsi="Garamond"/>
          <w:bCs/>
          <w:sz w:val="24"/>
          <w:szCs w:val="24"/>
          <w:lang w:val="en-US"/>
        </w:rPr>
        <w:t>two Brazilian universities and co-funding from</w:t>
      </w:r>
      <w:r w:rsidR="001D26C5">
        <w:rPr>
          <w:rFonts w:ascii="Garamond" w:hAnsi="Garamond"/>
          <w:bCs/>
          <w:sz w:val="24"/>
          <w:szCs w:val="24"/>
        </w:rPr>
        <w:t xml:space="preserve"> </w:t>
      </w:r>
      <w:r w:rsidR="001D26C5">
        <w:rPr>
          <w:rFonts w:ascii="Garamond" w:hAnsi="Garamond"/>
          <w:bCs/>
          <w:sz w:val="24"/>
          <w:szCs w:val="24"/>
          <w:lang w:val="en-US"/>
        </w:rPr>
        <w:t>the</w:t>
      </w:r>
      <w:r w:rsidR="001D26C5" w:rsidRPr="006D027F">
        <w:rPr>
          <w:rFonts w:ascii="Garamond" w:hAnsi="Garamond"/>
          <w:bCs/>
          <w:sz w:val="24"/>
          <w:szCs w:val="24"/>
          <w:lang w:val="en-US"/>
        </w:rPr>
        <w:t xml:space="preserve"> Early Childhood Program</w:t>
      </w:r>
      <w:r w:rsidR="000C28AA">
        <w:rPr>
          <w:rFonts w:ascii="Garamond" w:hAnsi="Garamond"/>
          <w:bCs/>
          <w:sz w:val="24"/>
          <w:szCs w:val="24"/>
          <w:lang w:val="en-US"/>
        </w:rPr>
        <w:t xml:space="preserve"> –</w:t>
      </w:r>
      <w:r w:rsidR="001D26C5" w:rsidRPr="006D027F">
        <w:rPr>
          <w:rFonts w:ascii="Garamond" w:hAnsi="Garamond"/>
          <w:bCs/>
          <w:sz w:val="24"/>
          <w:szCs w:val="24"/>
          <w:lang w:val="en-US"/>
        </w:rPr>
        <w:t xml:space="preserve"> as early </w:t>
      </w:r>
      <w:r w:rsidR="00022F6E">
        <w:rPr>
          <w:rFonts w:ascii="Garamond" w:hAnsi="Garamond"/>
          <w:bCs/>
          <w:sz w:val="24"/>
          <w:szCs w:val="24"/>
          <w:lang w:val="en-US"/>
        </w:rPr>
        <w:t xml:space="preserve">childhood care and education </w:t>
      </w:r>
      <w:r w:rsidR="001D26C5">
        <w:rPr>
          <w:rFonts w:ascii="Garamond" w:hAnsi="Garamond"/>
          <w:bCs/>
          <w:sz w:val="24"/>
          <w:szCs w:val="24"/>
          <w:lang w:val="en-US"/>
        </w:rPr>
        <w:t>emerged as the</w:t>
      </w:r>
      <w:r w:rsidR="001D26C5" w:rsidRPr="006D027F">
        <w:rPr>
          <w:rFonts w:ascii="Garamond" w:hAnsi="Garamond"/>
          <w:bCs/>
          <w:sz w:val="24"/>
          <w:szCs w:val="24"/>
          <w:lang w:val="en-US"/>
        </w:rPr>
        <w:t xml:space="preserve"> priority theme</w:t>
      </w:r>
      <w:r w:rsidR="000C28AA">
        <w:rPr>
          <w:rFonts w:ascii="Garamond" w:hAnsi="Garamond"/>
          <w:bCs/>
          <w:sz w:val="24"/>
          <w:szCs w:val="24"/>
          <w:lang w:val="en-US"/>
        </w:rPr>
        <w:t xml:space="preserve"> for them</w:t>
      </w:r>
      <w:r w:rsidR="001D26C5">
        <w:rPr>
          <w:rFonts w:ascii="Garamond" w:hAnsi="Garamond"/>
          <w:bCs/>
          <w:sz w:val="24"/>
          <w:szCs w:val="24"/>
          <w:lang w:val="en-US"/>
        </w:rPr>
        <w:t xml:space="preserve">. It </w:t>
      </w:r>
      <w:r w:rsidR="00D36D5B">
        <w:rPr>
          <w:rFonts w:ascii="Garamond" w:hAnsi="Garamond"/>
          <w:bCs/>
          <w:sz w:val="24"/>
          <w:szCs w:val="24"/>
        </w:rPr>
        <w:t>became apparent that it was</w:t>
      </w:r>
      <w:r w:rsidR="001D26C5">
        <w:rPr>
          <w:rFonts w:ascii="Garamond" w:hAnsi="Garamond"/>
          <w:bCs/>
          <w:sz w:val="24"/>
          <w:szCs w:val="24"/>
        </w:rPr>
        <w:t xml:space="preserve"> </w:t>
      </w:r>
      <w:r w:rsidR="001D26C5" w:rsidRPr="001E4411">
        <w:rPr>
          <w:rFonts w:ascii="Garamond" w:hAnsi="Garamond"/>
          <w:bCs/>
          <w:sz w:val="24"/>
          <w:szCs w:val="24"/>
        </w:rPr>
        <w:t xml:space="preserve">premature to develop advocacy strategies </w:t>
      </w:r>
      <w:r w:rsidR="001D26C5">
        <w:rPr>
          <w:rFonts w:ascii="Garamond" w:hAnsi="Garamond"/>
          <w:bCs/>
          <w:sz w:val="24"/>
          <w:szCs w:val="24"/>
        </w:rPr>
        <w:t>in Sao Tome &amp;</w:t>
      </w:r>
      <w:r w:rsidR="001D26C5" w:rsidRPr="001E4411">
        <w:rPr>
          <w:rFonts w:ascii="Garamond" w:hAnsi="Garamond"/>
          <w:bCs/>
          <w:sz w:val="24"/>
          <w:szCs w:val="24"/>
        </w:rPr>
        <w:t xml:space="preserve"> Principe and</w:t>
      </w:r>
      <w:r w:rsidR="001D26C5">
        <w:rPr>
          <w:rFonts w:ascii="Garamond" w:hAnsi="Garamond"/>
          <w:bCs/>
          <w:sz w:val="24"/>
          <w:szCs w:val="24"/>
        </w:rPr>
        <w:t xml:space="preserve"> in</w:t>
      </w:r>
      <w:r w:rsidR="001D26C5" w:rsidRPr="001E4411">
        <w:rPr>
          <w:rFonts w:ascii="Garamond" w:hAnsi="Garamond"/>
          <w:bCs/>
          <w:sz w:val="24"/>
          <w:szCs w:val="24"/>
        </w:rPr>
        <w:t xml:space="preserve"> Guinea Bissau</w:t>
      </w:r>
      <w:r w:rsidR="001D26C5">
        <w:rPr>
          <w:rFonts w:ascii="Garamond" w:hAnsi="Garamond"/>
          <w:bCs/>
          <w:sz w:val="24"/>
          <w:szCs w:val="24"/>
        </w:rPr>
        <w:t xml:space="preserve">, </w:t>
      </w:r>
      <w:r w:rsidR="001D26C5" w:rsidRPr="00BE1D0C">
        <w:rPr>
          <w:rFonts w:ascii="Garamond" w:hAnsi="Garamond"/>
          <w:bCs/>
          <w:sz w:val="24"/>
          <w:szCs w:val="24"/>
          <w:lang w:val="en-US"/>
        </w:rPr>
        <w:t>where schools were suspended for almost a year and teachers were not paid.</w:t>
      </w:r>
      <w:r w:rsidR="001D26C5">
        <w:rPr>
          <w:rFonts w:ascii="Garamond" w:hAnsi="Garamond"/>
          <w:bCs/>
          <w:sz w:val="24"/>
          <w:szCs w:val="24"/>
          <w:lang w:val="en-US"/>
        </w:rPr>
        <w:t xml:space="preserve"> The</w:t>
      </w:r>
      <w:r w:rsidR="001D26C5" w:rsidRPr="0028675E">
        <w:rPr>
          <w:rFonts w:ascii="Garamond" w:hAnsi="Garamond"/>
          <w:bCs/>
          <w:sz w:val="24"/>
          <w:szCs w:val="24"/>
        </w:rPr>
        <w:t xml:space="preserve"> </w:t>
      </w:r>
      <w:r w:rsidR="001D26C5">
        <w:rPr>
          <w:rFonts w:ascii="Garamond" w:hAnsi="Garamond"/>
          <w:bCs/>
          <w:sz w:val="24"/>
          <w:szCs w:val="24"/>
        </w:rPr>
        <w:t>Mozambique</w:t>
      </w:r>
      <w:r w:rsidR="001D26C5" w:rsidRPr="0028675E">
        <w:rPr>
          <w:rFonts w:ascii="Garamond" w:hAnsi="Garamond"/>
          <w:bCs/>
          <w:sz w:val="24"/>
          <w:szCs w:val="24"/>
        </w:rPr>
        <w:t xml:space="preserve"> </w:t>
      </w:r>
      <w:r w:rsidR="00D36D5B">
        <w:rPr>
          <w:rFonts w:ascii="Garamond" w:hAnsi="Garamond"/>
          <w:bCs/>
          <w:sz w:val="24"/>
          <w:szCs w:val="24"/>
        </w:rPr>
        <w:t>coalition,</w:t>
      </w:r>
      <w:r w:rsidR="001D26C5">
        <w:rPr>
          <w:rFonts w:ascii="Garamond" w:hAnsi="Garamond"/>
          <w:bCs/>
          <w:sz w:val="24"/>
          <w:szCs w:val="24"/>
        </w:rPr>
        <w:t xml:space="preserve"> </w:t>
      </w:r>
      <w:r w:rsidR="00D36D5B">
        <w:rPr>
          <w:rFonts w:ascii="Garamond" w:hAnsi="Garamond"/>
          <w:bCs/>
          <w:sz w:val="24"/>
          <w:szCs w:val="24"/>
        </w:rPr>
        <w:t>MEPT</w:t>
      </w:r>
      <w:r w:rsidR="001D26C5" w:rsidRPr="0095330A">
        <w:rPr>
          <w:rFonts w:ascii="Garamond" w:hAnsi="Garamond"/>
          <w:bCs/>
          <w:i/>
          <w:sz w:val="24"/>
          <w:szCs w:val="24"/>
        </w:rPr>
        <w:t xml:space="preserve"> </w:t>
      </w:r>
      <w:r w:rsidR="001D26C5">
        <w:rPr>
          <w:rFonts w:ascii="Garamond" w:hAnsi="Garamond"/>
          <w:bCs/>
          <w:i/>
          <w:sz w:val="24"/>
          <w:szCs w:val="24"/>
        </w:rPr>
        <w:t xml:space="preserve">– </w:t>
      </w:r>
      <w:proofErr w:type="spellStart"/>
      <w:r w:rsidR="001D26C5" w:rsidRPr="0028675E">
        <w:rPr>
          <w:rFonts w:ascii="Garamond" w:hAnsi="Garamond"/>
          <w:bCs/>
          <w:i/>
          <w:sz w:val="24"/>
          <w:szCs w:val="24"/>
        </w:rPr>
        <w:t>Movimento</w:t>
      </w:r>
      <w:proofErr w:type="spellEnd"/>
      <w:r w:rsidR="001D26C5" w:rsidRPr="0028675E">
        <w:rPr>
          <w:rFonts w:ascii="Garamond" w:hAnsi="Garamond"/>
          <w:bCs/>
          <w:i/>
          <w:sz w:val="24"/>
          <w:szCs w:val="24"/>
        </w:rPr>
        <w:t xml:space="preserve"> </w:t>
      </w:r>
      <w:proofErr w:type="spellStart"/>
      <w:r w:rsidR="001D26C5" w:rsidRPr="0028675E">
        <w:rPr>
          <w:rFonts w:ascii="Garamond" w:hAnsi="Garamond"/>
          <w:bCs/>
          <w:i/>
          <w:sz w:val="24"/>
          <w:szCs w:val="24"/>
        </w:rPr>
        <w:t>Educação</w:t>
      </w:r>
      <w:proofErr w:type="spellEnd"/>
      <w:r w:rsidR="001D26C5" w:rsidRPr="0028675E">
        <w:rPr>
          <w:rFonts w:ascii="Garamond" w:hAnsi="Garamond"/>
          <w:bCs/>
          <w:i/>
          <w:sz w:val="24"/>
          <w:szCs w:val="24"/>
        </w:rPr>
        <w:t xml:space="preserve"> para </w:t>
      </w:r>
      <w:proofErr w:type="spellStart"/>
      <w:r w:rsidR="001D26C5" w:rsidRPr="0028675E">
        <w:rPr>
          <w:rFonts w:ascii="Garamond" w:hAnsi="Garamond"/>
          <w:bCs/>
          <w:i/>
          <w:sz w:val="24"/>
          <w:szCs w:val="24"/>
        </w:rPr>
        <w:t>Todos</w:t>
      </w:r>
      <w:proofErr w:type="spellEnd"/>
      <w:r w:rsidR="000C28AA">
        <w:rPr>
          <w:rFonts w:ascii="Garamond" w:hAnsi="Garamond"/>
          <w:bCs/>
          <w:sz w:val="24"/>
          <w:szCs w:val="24"/>
        </w:rPr>
        <w:t>, which was the s</w:t>
      </w:r>
      <w:r w:rsidR="00022F6E">
        <w:rPr>
          <w:rFonts w:ascii="Garamond" w:hAnsi="Garamond"/>
          <w:bCs/>
          <w:sz w:val="24"/>
          <w:szCs w:val="24"/>
        </w:rPr>
        <w:t>trongest</w:t>
      </w:r>
      <w:r w:rsidR="001D26C5">
        <w:rPr>
          <w:rFonts w:ascii="Garamond" w:hAnsi="Garamond"/>
          <w:bCs/>
          <w:sz w:val="24"/>
          <w:szCs w:val="24"/>
        </w:rPr>
        <w:t xml:space="preserve"> </w:t>
      </w:r>
      <w:r w:rsidR="00D36D5B">
        <w:rPr>
          <w:rFonts w:ascii="Garamond" w:hAnsi="Garamond"/>
          <w:bCs/>
          <w:sz w:val="24"/>
          <w:szCs w:val="24"/>
        </w:rPr>
        <w:t>Lusophone</w:t>
      </w:r>
      <w:r w:rsidR="001D26C5">
        <w:rPr>
          <w:rFonts w:ascii="Garamond" w:hAnsi="Garamond"/>
          <w:bCs/>
          <w:sz w:val="24"/>
          <w:szCs w:val="24"/>
        </w:rPr>
        <w:t xml:space="preserve"> coalition when </w:t>
      </w:r>
      <w:r w:rsidR="000C28AA">
        <w:rPr>
          <w:rFonts w:ascii="Garamond" w:hAnsi="Garamond"/>
          <w:bCs/>
          <w:sz w:val="24"/>
          <w:szCs w:val="24"/>
        </w:rPr>
        <w:t>SSCP started</w:t>
      </w:r>
      <w:r w:rsidR="00D36D5B">
        <w:rPr>
          <w:rFonts w:ascii="Garamond" w:hAnsi="Garamond"/>
          <w:bCs/>
          <w:sz w:val="24"/>
          <w:szCs w:val="24"/>
        </w:rPr>
        <w:t>,</w:t>
      </w:r>
      <w:r w:rsidR="001D26C5">
        <w:rPr>
          <w:rFonts w:ascii="Garamond" w:hAnsi="Garamond"/>
          <w:bCs/>
          <w:sz w:val="24"/>
          <w:szCs w:val="24"/>
        </w:rPr>
        <w:t xml:space="preserve"> struggled </w:t>
      </w:r>
      <w:r w:rsidR="00D36D5B">
        <w:rPr>
          <w:rFonts w:ascii="Garamond" w:hAnsi="Garamond"/>
          <w:bCs/>
          <w:sz w:val="24"/>
          <w:szCs w:val="24"/>
        </w:rPr>
        <w:t>after</w:t>
      </w:r>
      <w:r w:rsidR="001D26C5">
        <w:rPr>
          <w:rFonts w:ascii="Garamond" w:hAnsi="Garamond"/>
          <w:bCs/>
          <w:sz w:val="24"/>
          <w:szCs w:val="24"/>
        </w:rPr>
        <w:t xml:space="preserve"> financial irregularities were discovered in 2014 and is only </w:t>
      </w:r>
      <w:r w:rsidR="000C28AA">
        <w:rPr>
          <w:rFonts w:ascii="Garamond" w:hAnsi="Garamond"/>
          <w:bCs/>
          <w:sz w:val="24"/>
          <w:szCs w:val="24"/>
        </w:rPr>
        <w:t>regaining credibility and trust</w:t>
      </w:r>
      <w:r w:rsidR="001D26C5">
        <w:rPr>
          <w:rFonts w:ascii="Garamond" w:hAnsi="Garamond"/>
          <w:bCs/>
          <w:sz w:val="24"/>
          <w:szCs w:val="24"/>
        </w:rPr>
        <w:t xml:space="preserve"> now. The Angolan coalition, EPT – </w:t>
      </w:r>
      <w:proofErr w:type="spellStart"/>
      <w:r w:rsidR="001D26C5" w:rsidRPr="0028675E">
        <w:rPr>
          <w:rFonts w:ascii="Garamond" w:hAnsi="Garamond"/>
          <w:bCs/>
          <w:i/>
          <w:sz w:val="24"/>
          <w:szCs w:val="24"/>
        </w:rPr>
        <w:t>Rede</w:t>
      </w:r>
      <w:proofErr w:type="spellEnd"/>
      <w:r w:rsidR="001D26C5" w:rsidRPr="0028675E">
        <w:rPr>
          <w:rFonts w:ascii="Garamond" w:hAnsi="Garamond"/>
          <w:bCs/>
          <w:i/>
          <w:sz w:val="24"/>
          <w:szCs w:val="24"/>
        </w:rPr>
        <w:t xml:space="preserve"> </w:t>
      </w:r>
      <w:proofErr w:type="spellStart"/>
      <w:r w:rsidR="001D26C5" w:rsidRPr="0028675E">
        <w:rPr>
          <w:rFonts w:ascii="Garamond" w:hAnsi="Garamond"/>
          <w:bCs/>
          <w:i/>
          <w:sz w:val="24"/>
          <w:szCs w:val="24"/>
        </w:rPr>
        <w:t>Educação</w:t>
      </w:r>
      <w:proofErr w:type="spellEnd"/>
      <w:r w:rsidR="001D26C5" w:rsidRPr="0028675E">
        <w:rPr>
          <w:rFonts w:ascii="Garamond" w:hAnsi="Garamond"/>
          <w:bCs/>
          <w:i/>
          <w:sz w:val="24"/>
          <w:szCs w:val="24"/>
        </w:rPr>
        <w:t xml:space="preserve"> para </w:t>
      </w:r>
      <w:proofErr w:type="spellStart"/>
      <w:r w:rsidR="001D26C5" w:rsidRPr="0028675E">
        <w:rPr>
          <w:rFonts w:ascii="Garamond" w:hAnsi="Garamond"/>
          <w:bCs/>
          <w:i/>
          <w:sz w:val="24"/>
          <w:szCs w:val="24"/>
        </w:rPr>
        <w:t>Todos</w:t>
      </w:r>
      <w:proofErr w:type="spellEnd"/>
      <w:r w:rsidR="001D26C5">
        <w:rPr>
          <w:rFonts w:ascii="Garamond" w:hAnsi="Garamond"/>
          <w:bCs/>
          <w:sz w:val="24"/>
          <w:szCs w:val="24"/>
        </w:rPr>
        <w:t xml:space="preserve">, </w:t>
      </w:r>
      <w:r w:rsidR="009C46F5">
        <w:rPr>
          <w:rFonts w:ascii="Garamond" w:hAnsi="Garamond"/>
          <w:bCs/>
          <w:sz w:val="24"/>
          <w:szCs w:val="24"/>
        </w:rPr>
        <w:t xml:space="preserve">is </w:t>
      </w:r>
      <w:r w:rsidR="001D26C5">
        <w:rPr>
          <w:rFonts w:ascii="Garamond" w:hAnsi="Garamond"/>
          <w:bCs/>
          <w:sz w:val="24"/>
          <w:szCs w:val="24"/>
        </w:rPr>
        <w:t xml:space="preserve">reluctant to </w:t>
      </w:r>
      <w:r w:rsidR="009C46F5">
        <w:rPr>
          <w:rFonts w:ascii="Garamond" w:hAnsi="Garamond"/>
          <w:bCs/>
          <w:sz w:val="24"/>
          <w:szCs w:val="24"/>
        </w:rPr>
        <w:t>be vocal in its</w:t>
      </w:r>
      <w:r w:rsidR="001D26C5">
        <w:rPr>
          <w:rFonts w:ascii="Garamond" w:hAnsi="Garamond"/>
          <w:bCs/>
          <w:sz w:val="24"/>
          <w:szCs w:val="24"/>
        </w:rPr>
        <w:t xml:space="preserve"> criticism</w:t>
      </w:r>
      <w:r w:rsidR="00D36D5B">
        <w:rPr>
          <w:rFonts w:ascii="Garamond" w:hAnsi="Garamond"/>
          <w:bCs/>
          <w:sz w:val="24"/>
          <w:szCs w:val="24"/>
        </w:rPr>
        <w:t xml:space="preserve"> of the</w:t>
      </w:r>
      <w:r w:rsidR="001D26C5">
        <w:rPr>
          <w:rFonts w:ascii="Garamond" w:hAnsi="Garamond"/>
          <w:bCs/>
          <w:sz w:val="24"/>
          <w:szCs w:val="24"/>
        </w:rPr>
        <w:t xml:space="preserve"> government</w:t>
      </w:r>
      <w:r w:rsidR="009C46F5">
        <w:rPr>
          <w:rFonts w:ascii="Garamond" w:hAnsi="Garamond"/>
          <w:bCs/>
          <w:sz w:val="24"/>
          <w:szCs w:val="24"/>
        </w:rPr>
        <w:t xml:space="preserve">. </w:t>
      </w:r>
      <w:r w:rsidR="00626364">
        <w:rPr>
          <w:rFonts w:ascii="Garamond" w:hAnsi="Garamond"/>
          <w:bCs/>
          <w:sz w:val="24"/>
          <w:szCs w:val="24"/>
        </w:rPr>
        <w:t xml:space="preserve">We decided to phase out SSCP </w:t>
      </w:r>
      <w:r w:rsidR="00022F6E">
        <w:rPr>
          <w:rFonts w:ascii="Garamond" w:hAnsi="Garamond"/>
          <w:bCs/>
          <w:sz w:val="24"/>
          <w:szCs w:val="24"/>
        </w:rPr>
        <w:t>at the end of 2014</w:t>
      </w:r>
      <w:r w:rsidR="00873380">
        <w:rPr>
          <w:rFonts w:ascii="Garamond" w:hAnsi="Garamond"/>
          <w:bCs/>
          <w:sz w:val="24"/>
          <w:szCs w:val="24"/>
        </w:rPr>
        <w:t xml:space="preserve"> </w:t>
      </w:r>
      <w:r w:rsidR="00626364">
        <w:rPr>
          <w:rFonts w:ascii="Garamond" w:hAnsi="Garamond"/>
          <w:bCs/>
          <w:sz w:val="24"/>
          <w:szCs w:val="24"/>
        </w:rPr>
        <w:t>and designed a two-year process to enable the</w:t>
      </w:r>
      <w:r w:rsidR="00626364" w:rsidRPr="009C46F5">
        <w:rPr>
          <w:rFonts w:ascii="Garamond" w:hAnsi="Garamond"/>
          <w:bCs/>
          <w:sz w:val="24"/>
          <w:szCs w:val="24"/>
        </w:rPr>
        <w:t xml:space="preserve"> Cape Verde</w:t>
      </w:r>
      <w:r w:rsidR="00626364">
        <w:rPr>
          <w:rFonts w:ascii="Garamond" w:hAnsi="Garamond"/>
          <w:bCs/>
          <w:sz w:val="24"/>
          <w:szCs w:val="24"/>
        </w:rPr>
        <w:t xml:space="preserve"> coalition</w:t>
      </w:r>
      <w:r w:rsidR="00022F6E">
        <w:rPr>
          <w:rFonts w:ascii="Garamond" w:hAnsi="Garamond"/>
          <w:bCs/>
          <w:sz w:val="24"/>
          <w:szCs w:val="24"/>
        </w:rPr>
        <w:t xml:space="preserve"> to take on a</w:t>
      </w:r>
      <w:r w:rsidR="00626364">
        <w:rPr>
          <w:rFonts w:ascii="Garamond" w:hAnsi="Garamond"/>
          <w:bCs/>
          <w:sz w:val="24"/>
          <w:szCs w:val="24"/>
        </w:rPr>
        <w:t xml:space="preserve"> convening role for the Lusophone coalitions. </w:t>
      </w:r>
      <w:r w:rsidR="009C46F5">
        <w:rPr>
          <w:rFonts w:ascii="Garamond" w:hAnsi="Garamond"/>
          <w:bCs/>
          <w:sz w:val="24"/>
          <w:szCs w:val="24"/>
        </w:rPr>
        <w:t xml:space="preserve">BCRE </w:t>
      </w:r>
      <w:r w:rsidR="00626364">
        <w:rPr>
          <w:rFonts w:ascii="Garamond" w:hAnsi="Garamond"/>
          <w:bCs/>
          <w:sz w:val="24"/>
          <w:szCs w:val="24"/>
        </w:rPr>
        <w:t xml:space="preserve">will host a final SSCP meeting </w:t>
      </w:r>
      <w:r w:rsidR="009C46F5">
        <w:rPr>
          <w:rFonts w:ascii="Garamond" w:hAnsi="Garamond"/>
          <w:bCs/>
          <w:sz w:val="24"/>
          <w:szCs w:val="24"/>
        </w:rPr>
        <w:t>in Porto All</w:t>
      </w:r>
      <w:r w:rsidR="00626364">
        <w:rPr>
          <w:rFonts w:ascii="Garamond" w:hAnsi="Garamond"/>
          <w:bCs/>
          <w:sz w:val="24"/>
          <w:szCs w:val="24"/>
        </w:rPr>
        <w:t>egri, in January 2016,</w:t>
      </w:r>
      <w:r w:rsidR="00626364" w:rsidRPr="00626364">
        <w:rPr>
          <w:rFonts w:ascii="Garamond" w:hAnsi="Garamond"/>
          <w:bCs/>
          <w:sz w:val="24"/>
          <w:szCs w:val="24"/>
        </w:rPr>
        <w:t xml:space="preserve"> </w:t>
      </w:r>
      <w:r w:rsidR="00626364">
        <w:rPr>
          <w:rFonts w:ascii="Garamond" w:hAnsi="Garamond"/>
          <w:bCs/>
          <w:sz w:val="24"/>
          <w:szCs w:val="24"/>
        </w:rPr>
        <w:t>to strengthen strategies and fundraising</w:t>
      </w:r>
      <w:r w:rsidR="00873380">
        <w:rPr>
          <w:rFonts w:ascii="Garamond" w:hAnsi="Garamond"/>
          <w:bCs/>
          <w:sz w:val="24"/>
          <w:szCs w:val="24"/>
        </w:rPr>
        <w:t>.</w:t>
      </w:r>
      <w:r w:rsidR="009C46F5">
        <w:rPr>
          <w:rFonts w:ascii="Garamond" w:hAnsi="Garamond"/>
          <w:bCs/>
          <w:sz w:val="24"/>
          <w:szCs w:val="24"/>
        </w:rPr>
        <w:t xml:space="preserve"> </w:t>
      </w:r>
    </w:p>
    <w:p w14:paraId="7B79139D" w14:textId="2400E53E" w:rsidR="001D26C5" w:rsidRPr="004B3BAD" w:rsidRDefault="009C46F5" w:rsidP="001D26C5">
      <w:pPr>
        <w:spacing w:line="276" w:lineRule="auto"/>
        <w:rPr>
          <w:rFonts w:ascii="Garamond" w:hAnsi="Garamond"/>
          <w:bCs/>
          <w:sz w:val="24"/>
          <w:szCs w:val="24"/>
          <w:lang w:val="en-US"/>
        </w:rPr>
      </w:pPr>
      <w:r>
        <w:rPr>
          <w:rFonts w:ascii="Garamond" w:hAnsi="Garamond"/>
          <w:bCs/>
          <w:sz w:val="24"/>
          <w:szCs w:val="24"/>
        </w:rPr>
        <w:t xml:space="preserve">The </w:t>
      </w:r>
      <w:r w:rsidR="00873380">
        <w:rPr>
          <w:rFonts w:ascii="Garamond" w:hAnsi="Garamond"/>
          <w:bCs/>
          <w:sz w:val="24"/>
          <w:szCs w:val="24"/>
        </w:rPr>
        <w:t>only</w:t>
      </w:r>
      <w:r w:rsidR="001350A5">
        <w:rPr>
          <w:rFonts w:ascii="Garamond" w:hAnsi="Garamond"/>
          <w:bCs/>
          <w:sz w:val="24"/>
          <w:szCs w:val="24"/>
        </w:rPr>
        <w:t xml:space="preserve"> </w:t>
      </w:r>
      <w:r w:rsidR="00626364">
        <w:rPr>
          <w:rFonts w:ascii="Garamond" w:hAnsi="Garamond"/>
          <w:bCs/>
          <w:sz w:val="24"/>
          <w:szCs w:val="24"/>
        </w:rPr>
        <w:t xml:space="preserve">real </w:t>
      </w:r>
      <w:r w:rsidR="004B3BAD">
        <w:rPr>
          <w:rFonts w:ascii="Garamond" w:hAnsi="Garamond"/>
          <w:bCs/>
          <w:sz w:val="24"/>
          <w:szCs w:val="24"/>
        </w:rPr>
        <w:t>success</w:t>
      </w:r>
      <w:r>
        <w:rPr>
          <w:rFonts w:ascii="Garamond" w:hAnsi="Garamond"/>
          <w:bCs/>
          <w:sz w:val="24"/>
          <w:szCs w:val="24"/>
        </w:rPr>
        <w:t xml:space="preserve"> so far</w:t>
      </w:r>
      <w:r w:rsidR="004B3BAD">
        <w:rPr>
          <w:rFonts w:ascii="Garamond" w:hAnsi="Garamond"/>
          <w:bCs/>
          <w:sz w:val="24"/>
          <w:szCs w:val="24"/>
        </w:rPr>
        <w:t xml:space="preserve"> is the</w:t>
      </w:r>
      <w:r w:rsidR="00C5564B">
        <w:rPr>
          <w:rFonts w:ascii="Garamond" w:hAnsi="Garamond"/>
          <w:bCs/>
          <w:sz w:val="24"/>
          <w:szCs w:val="24"/>
        </w:rPr>
        <w:t xml:space="preserve"> Cape Verde c</w:t>
      </w:r>
      <w:r w:rsidR="00357CCD">
        <w:rPr>
          <w:rFonts w:ascii="Garamond" w:hAnsi="Garamond"/>
          <w:bCs/>
          <w:sz w:val="24"/>
          <w:szCs w:val="24"/>
        </w:rPr>
        <w:t>oalition</w:t>
      </w:r>
      <w:r w:rsidR="00022F6E">
        <w:rPr>
          <w:rFonts w:ascii="Garamond" w:hAnsi="Garamond"/>
          <w:bCs/>
          <w:sz w:val="24"/>
          <w:szCs w:val="24"/>
        </w:rPr>
        <w:t>,</w:t>
      </w:r>
      <w:r w:rsidR="00357CCD">
        <w:rPr>
          <w:rFonts w:ascii="Garamond" w:hAnsi="Garamond"/>
          <w:bCs/>
          <w:sz w:val="24"/>
          <w:szCs w:val="24"/>
        </w:rPr>
        <w:t xml:space="preserve"> </w:t>
      </w:r>
      <w:r w:rsidR="004B3BAD">
        <w:rPr>
          <w:rFonts w:ascii="Garamond" w:hAnsi="Garamond"/>
          <w:bCs/>
          <w:sz w:val="24"/>
          <w:szCs w:val="24"/>
        </w:rPr>
        <w:t xml:space="preserve">which </w:t>
      </w:r>
      <w:r w:rsidR="001D26C5">
        <w:rPr>
          <w:rFonts w:ascii="Garamond" w:hAnsi="Garamond"/>
          <w:bCs/>
          <w:sz w:val="24"/>
          <w:szCs w:val="24"/>
        </w:rPr>
        <w:t>has</w:t>
      </w:r>
      <w:r w:rsidR="009A6710" w:rsidRPr="009A6710">
        <w:rPr>
          <w:rFonts w:ascii="Garamond" w:hAnsi="Garamond"/>
          <w:bCs/>
          <w:sz w:val="24"/>
          <w:szCs w:val="24"/>
        </w:rPr>
        <w:t xml:space="preserve"> a broad </w:t>
      </w:r>
      <w:r w:rsidR="00022F6E">
        <w:rPr>
          <w:rFonts w:ascii="Garamond" w:hAnsi="Garamond"/>
          <w:bCs/>
          <w:sz w:val="24"/>
          <w:szCs w:val="24"/>
        </w:rPr>
        <w:t xml:space="preserve">social </w:t>
      </w:r>
      <w:r w:rsidR="009A6710" w:rsidRPr="009A6710">
        <w:rPr>
          <w:rFonts w:ascii="Garamond" w:hAnsi="Garamond"/>
          <w:bCs/>
          <w:sz w:val="24"/>
          <w:szCs w:val="24"/>
        </w:rPr>
        <w:t>base</w:t>
      </w:r>
      <w:r w:rsidR="00022F6E">
        <w:rPr>
          <w:rFonts w:ascii="Garamond" w:hAnsi="Garamond"/>
          <w:bCs/>
          <w:sz w:val="24"/>
          <w:szCs w:val="24"/>
        </w:rPr>
        <w:t xml:space="preserve"> as well as</w:t>
      </w:r>
      <w:r w:rsidR="009A6710" w:rsidRPr="009A6710">
        <w:rPr>
          <w:rFonts w:ascii="Garamond" w:hAnsi="Garamond"/>
          <w:bCs/>
          <w:sz w:val="24"/>
          <w:szCs w:val="24"/>
        </w:rPr>
        <w:t xml:space="preserve"> </w:t>
      </w:r>
      <w:r w:rsidR="00022F6E">
        <w:rPr>
          <w:rFonts w:ascii="Garamond" w:hAnsi="Garamond"/>
          <w:bCs/>
          <w:sz w:val="24"/>
          <w:szCs w:val="24"/>
        </w:rPr>
        <w:t xml:space="preserve">institutional </w:t>
      </w:r>
      <w:r w:rsidR="009A6710" w:rsidRPr="009A6710">
        <w:rPr>
          <w:rFonts w:ascii="Garamond" w:hAnsi="Garamond"/>
          <w:bCs/>
          <w:sz w:val="24"/>
          <w:szCs w:val="24"/>
        </w:rPr>
        <w:t xml:space="preserve">capacity and </w:t>
      </w:r>
      <w:r w:rsidR="00022F6E" w:rsidRPr="009A6710">
        <w:rPr>
          <w:rFonts w:ascii="Garamond" w:hAnsi="Garamond"/>
          <w:bCs/>
          <w:sz w:val="24"/>
          <w:szCs w:val="24"/>
        </w:rPr>
        <w:t xml:space="preserve">advocacy </w:t>
      </w:r>
      <w:r w:rsidR="009A6710" w:rsidRPr="009A6710">
        <w:rPr>
          <w:rFonts w:ascii="Garamond" w:hAnsi="Garamond"/>
          <w:bCs/>
          <w:sz w:val="24"/>
          <w:szCs w:val="24"/>
        </w:rPr>
        <w:t>experi</w:t>
      </w:r>
      <w:r w:rsidR="00022F6E">
        <w:rPr>
          <w:rFonts w:ascii="Garamond" w:hAnsi="Garamond"/>
          <w:bCs/>
          <w:sz w:val="24"/>
          <w:szCs w:val="24"/>
        </w:rPr>
        <w:t>ence</w:t>
      </w:r>
      <w:r w:rsidR="009A6710" w:rsidRPr="009A6710">
        <w:rPr>
          <w:rFonts w:ascii="Garamond" w:hAnsi="Garamond"/>
          <w:bCs/>
          <w:sz w:val="24"/>
          <w:szCs w:val="24"/>
        </w:rPr>
        <w:t xml:space="preserve">. </w:t>
      </w:r>
      <w:r w:rsidR="00022F6E">
        <w:rPr>
          <w:rFonts w:ascii="Garamond" w:hAnsi="Garamond"/>
          <w:bCs/>
          <w:sz w:val="24"/>
          <w:szCs w:val="24"/>
        </w:rPr>
        <w:t>T</w:t>
      </w:r>
      <w:r w:rsidR="00873380">
        <w:rPr>
          <w:rFonts w:ascii="Garamond" w:hAnsi="Garamond"/>
          <w:bCs/>
          <w:sz w:val="24"/>
          <w:szCs w:val="24"/>
        </w:rPr>
        <w:t>he</w:t>
      </w:r>
      <w:r w:rsidR="009A6710" w:rsidRPr="009A6710">
        <w:rPr>
          <w:rFonts w:ascii="Garamond" w:hAnsi="Garamond"/>
          <w:bCs/>
          <w:sz w:val="24"/>
          <w:szCs w:val="24"/>
        </w:rPr>
        <w:t xml:space="preserve"> </w:t>
      </w:r>
      <w:r w:rsidR="00873380">
        <w:rPr>
          <w:rFonts w:ascii="Garamond" w:hAnsi="Garamond"/>
          <w:bCs/>
          <w:sz w:val="24"/>
          <w:szCs w:val="24"/>
        </w:rPr>
        <w:t xml:space="preserve">coalition </w:t>
      </w:r>
      <w:r w:rsidR="009A6710" w:rsidRPr="009A6710">
        <w:rPr>
          <w:rFonts w:ascii="Garamond" w:hAnsi="Garamond"/>
          <w:bCs/>
          <w:sz w:val="24"/>
          <w:szCs w:val="24"/>
        </w:rPr>
        <w:t>develop</w:t>
      </w:r>
      <w:r w:rsidR="001D26C5">
        <w:rPr>
          <w:rFonts w:ascii="Garamond" w:hAnsi="Garamond"/>
          <w:bCs/>
          <w:sz w:val="24"/>
          <w:szCs w:val="24"/>
        </w:rPr>
        <w:t>ed</w:t>
      </w:r>
      <w:r w:rsidR="009A6710" w:rsidRPr="009A6710">
        <w:rPr>
          <w:rFonts w:ascii="Garamond" w:hAnsi="Garamond"/>
          <w:bCs/>
          <w:sz w:val="24"/>
          <w:szCs w:val="24"/>
        </w:rPr>
        <w:t xml:space="preserve"> a strong relationship with the University of Cape Verde </w:t>
      </w:r>
      <w:r w:rsidR="00022F6E">
        <w:rPr>
          <w:rFonts w:ascii="Garamond" w:hAnsi="Garamond"/>
          <w:bCs/>
          <w:sz w:val="24"/>
          <w:szCs w:val="24"/>
        </w:rPr>
        <w:t>th</w:t>
      </w:r>
      <w:r w:rsidR="00022F6E" w:rsidRPr="009A6710">
        <w:rPr>
          <w:rFonts w:ascii="Garamond" w:hAnsi="Garamond"/>
          <w:bCs/>
          <w:sz w:val="24"/>
          <w:szCs w:val="24"/>
        </w:rPr>
        <w:t>rough</w:t>
      </w:r>
      <w:r w:rsidR="00022F6E">
        <w:rPr>
          <w:rFonts w:ascii="Garamond" w:hAnsi="Garamond"/>
          <w:bCs/>
          <w:sz w:val="24"/>
          <w:szCs w:val="24"/>
        </w:rPr>
        <w:t xml:space="preserve"> the</w:t>
      </w:r>
      <w:r w:rsidR="00022F6E" w:rsidRPr="009A6710">
        <w:rPr>
          <w:rFonts w:ascii="Garamond" w:hAnsi="Garamond"/>
          <w:bCs/>
          <w:sz w:val="24"/>
          <w:szCs w:val="24"/>
        </w:rPr>
        <w:t xml:space="preserve"> </w:t>
      </w:r>
      <w:r w:rsidR="00022F6E">
        <w:rPr>
          <w:rFonts w:ascii="Garamond" w:hAnsi="Garamond"/>
          <w:bCs/>
          <w:sz w:val="24"/>
          <w:szCs w:val="24"/>
        </w:rPr>
        <w:t xml:space="preserve">SSCP, and </w:t>
      </w:r>
      <w:r w:rsidR="00C5564B">
        <w:rPr>
          <w:rFonts w:ascii="Garamond" w:hAnsi="Garamond"/>
          <w:bCs/>
          <w:sz w:val="24"/>
          <w:szCs w:val="24"/>
        </w:rPr>
        <w:t xml:space="preserve">it </w:t>
      </w:r>
      <w:r w:rsidR="00022F6E">
        <w:rPr>
          <w:rFonts w:ascii="Garamond" w:hAnsi="Garamond"/>
          <w:bCs/>
          <w:sz w:val="24"/>
          <w:szCs w:val="24"/>
        </w:rPr>
        <w:t>has</w:t>
      </w:r>
      <w:r w:rsidR="009A6710" w:rsidRPr="009A6710">
        <w:rPr>
          <w:rFonts w:ascii="Garamond" w:hAnsi="Garamond"/>
          <w:bCs/>
          <w:sz w:val="24"/>
          <w:szCs w:val="24"/>
        </w:rPr>
        <w:t xml:space="preserve"> </w:t>
      </w:r>
      <w:r w:rsidR="00022F6E">
        <w:rPr>
          <w:rFonts w:ascii="Garamond" w:hAnsi="Garamond"/>
          <w:bCs/>
          <w:sz w:val="24"/>
          <w:szCs w:val="24"/>
        </w:rPr>
        <w:t xml:space="preserve">gone on to </w:t>
      </w:r>
      <w:r w:rsidR="009A6710" w:rsidRPr="009A6710">
        <w:rPr>
          <w:rFonts w:ascii="Garamond" w:hAnsi="Garamond"/>
          <w:bCs/>
          <w:sz w:val="24"/>
          <w:szCs w:val="24"/>
        </w:rPr>
        <w:t xml:space="preserve">develop </w:t>
      </w:r>
      <w:r w:rsidR="001D26C5">
        <w:rPr>
          <w:rFonts w:ascii="Garamond" w:hAnsi="Garamond"/>
          <w:bCs/>
          <w:sz w:val="24"/>
          <w:szCs w:val="24"/>
        </w:rPr>
        <w:t xml:space="preserve">further </w:t>
      </w:r>
      <w:r w:rsidR="009A6710" w:rsidRPr="009A6710">
        <w:rPr>
          <w:rFonts w:ascii="Garamond" w:hAnsi="Garamond"/>
          <w:bCs/>
          <w:sz w:val="24"/>
          <w:szCs w:val="24"/>
        </w:rPr>
        <w:t xml:space="preserve">research </w:t>
      </w:r>
      <w:r w:rsidR="00022F6E">
        <w:rPr>
          <w:rFonts w:ascii="Garamond" w:hAnsi="Garamond"/>
          <w:bCs/>
          <w:sz w:val="24"/>
          <w:szCs w:val="24"/>
        </w:rPr>
        <w:t>and advocacy</w:t>
      </w:r>
      <w:r w:rsidR="001D26C5">
        <w:rPr>
          <w:rFonts w:ascii="Garamond" w:hAnsi="Garamond"/>
          <w:bCs/>
          <w:sz w:val="24"/>
          <w:szCs w:val="24"/>
        </w:rPr>
        <w:t xml:space="preserve">. </w:t>
      </w:r>
      <w:r w:rsidR="001D26C5" w:rsidRPr="004B3BAD">
        <w:rPr>
          <w:rFonts w:ascii="Garamond" w:hAnsi="Garamond"/>
          <w:bCs/>
          <w:sz w:val="24"/>
          <w:szCs w:val="24"/>
          <w:lang w:val="en-US"/>
        </w:rPr>
        <w:t>ANCEFA</w:t>
      </w:r>
      <w:r w:rsidR="001D26C5">
        <w:rPr>
          <w:rFonts w:ascii="Garamond" w:hAnsi="Garamond"/>
          <w:bCs/>
          <w:sz w:val="24"/>
          <w:szCs w:val="24"/>
          <w:lang w:val="en-US"/>
        </w:rPr>
        <w:t>, which is emerging from a period of uncertain leadership itself,</w:t>
      </w:r>
      <w:r w:rsidR="001D26C5" w:rsidRPr="004B3BAD">
        <w:rPr>
          <w:rFonts w:ascii="Garamond" w:hAnsi="Garamond"/>
          <w:bCs/>
          <w:sz w:val="24"/>
          <w:szCs w:val="24"/>
          <w:lang w:val="en-US"/>
        </w:rPr>
        <w:t xml:space="preserve"> </w:t>
      </w:r>
      <w:r w:rsidR="001D26C5">
        <w:rPr>
          <w:rFonts w:ascii="Garamond" w:hAnsi="Garamond"/>
          <w:bCs/>
          <w:sz w:val="24"/>
          <w:szCs w:val="24"/>
          <w:lang w:val="en-US"/>
        </w:rPr>
        <w:t xml:space="preserve">has </w:t>
      </w:r>
      <w:r w:rsidR="001D26C5" w:rsidRPr="004B3BAD">
        <w:rPr>
          <w:rFonts w:ascii="Garamond" w:hAnsi="Garamond"/>
          <w:bCs/>
          <w:sz w:val="24"/>
          <w:szCs w:val="24"/>
          <w:lang w:val="en-US"/>
        </w:rPr>
        <w:t xml:space="preserve">appointed </w:t>
      </w:r>
      <w:r w:rsidR="001D26C5">
        <w:rPr>
          <w:rFonts w:ascii="Garamond" w:hAnsi="Garamond"/>
          <w:bCs/>
          <w:sz w:val="24"/>
          <w:szCs w:val="24"/>
          <w:lang w:val="en-US"/>
        </w:rPr>
        <w:t>a</w:t>
      </w:r>
      <w:r w:rsidR="001D26C5" w:rsidRPr="004B3BAD">
        <w:rPr>
          <w:rFonts w:ascii="Garamond" w:hAnsi="Garamond"/>
          <w:bCs/>
          <w:sz w:val="24"/>
          <w:szCs w:val="24"/>
          <w:lang w:val="en-US"/>
        </w:rPr>
        <w:t xml:space="preserve"> new Lusophone </w:t>
      </w:r>
      <w:proofErr w:type="spellStart"/>
      <w:r w:rsidR="001D26C5" w:rsidRPr="004B3BAD">
        <w:rPr>
          <w:rFonts w:ascii="Garamond" w:hAnsi="Garamond"/>
          <w:bCs/>
          <w:sz w:val="24"/>
          <w:szCs w:val="24"/>
          <w:lang w:val="en-US"/>
        </w:rPr>
        <w:t>Programme</w:t>
      </w:r>
      <w:proofErr w:type="spellEnd"/>
      <w:r w:rsidR="001D26C5" w:rsidRPr="004B3BAD">
        <w:rPr>
          <w:rFonts w:ascii="Garamond" w:hAnsi="Garamond"/>
          <w:bCs/>
          <w:sz w:val="24"/>
          <w:szCs w:val="24"/>
          <w:lang w:val="en-US"/>
        </w:rPr>
        <w:t xml:space="preserve"> Officer</w:t>
      </w:r>
      <w:r w:rsidR="001D26C5">
        <w:rPr>
          <w:rFonts w:ascii="Garamond" w:hAnsi="Garamond"/>
          <w:bCs/>
          <w:sz w:val="24"/>
          <w:szCs w:val="24"/>
          <w:lang w:val="en-US"/>
        </w:rPr>
        <w:t>, who was</w:t>
      </w:r>
      <w:r w:rsidR="001D26C5" w:rsidRPr="004B3BAD">
        <w:rPr>
          <w:rFonts w:ascii="Garamond" w:hAnsi="Garamond"/>
          <w:bCs/>
          <w:sz w:val="24"/>
          <w:szCs w:val="24"/>
          <w:lang w:val="en-US"/>
        </w:rPr>
        <w:t xml:space="preserve"> </w:t>
      </w:r>
      <w:r w:rsidR="00022F6E">
        <w:rPr>
          <w:rFonts w:ascii="Garamond" w:hAnsi="Garamond"/>
          <w:bCs/>
          <w:sz w:val="24"/>
          <w:szCs w:val="24"/>
          <w:lang w:val="en-US"/>
        </w:rPr>
        <w:t xml:space="preserve">formerly </w:t>
      </w:r>
      <w:r w:rsidR="001D26C5" w:rsidRPr="004B3BAD">
        <w:rPr>
          <w:rFonts w:ascii="Garamond" w:hAnsi="Garamond"/>
          <w:bCs/>
          <w:sz w:val="24"/>
          <w:szCs w:val="24"/>
          <w:lang w:val="en-US"/>
        </w:rPr>
        <w:t>one of the</w:t>
      </w:r>
      <w:r w:rsidR="001D26C5">
        <w:rPr>
          <w:rFonts w:ascii="Garamond" w:hAnsi="Garamond"/>
          <w:bCs/>
          <w:sz w:val="24"/>
          <w:szCs w:val="24"/>
          <w:lang w:val="en-US"/>
        </w:rPr>
        <w:t xml:space="preserve"> university researchers from Brazil </w:t>
      </w:r>
      <w:r w:rsidR="00022F6E">
        <w:rPr>
          <w:rFonts w:ascii="Garamond" w:hAnsi="Garamond"/>
          <w:bCs/>
          <w:sz w:val="24"/>
          <w:szCs w:val="24"/>
          <w:lang w:val="en-US"/>
        </w:rPr>
        <w:t>who had</w:t>
      </w:r>
      <w:r w:rsidR="001D26C5">
        <w:rPr>
          <w:rFonts w:ascii="Garamond" w:hAnsi="Garamond"/>
          <w:bCs/>
          <w:sz w:val="24"/>
          <w:szCs w:val="24"/>
          <w:lang w:val="en-US"/>
        </w:rPr>
        <w:t xml:space="preserve"> </w:t>
      </w:r>
      <w:r w:rsidR="00022F6E">
        <w:rPr>
          <w:rFonts w:ascii="Garamond" w:hAnsi="Garamond"/>
          <w:bCs/>
          <w:sz w:val="24"/>
          <w:szCs w:val="24"/>
          <w:lang w:val="en-US"/>
        </w:rPr>
        <w:t>contributed to the</w:t>
      </w:r>
      <w:r w:rsidR="001D26C5">
        <w:rPr>
          <w:rFonts w:ascii="Garamond" w:hAnsi="Garamond"/>
          <w:bCs/>
          <w:sz w:val="24"/>
          <w:szCs w:val="24"/>
          <w:lang w:val="en-US"/>
        </w:rPr>
        <w:t xml:space="preserve"> SSCP.</w:t>
      </w:r>
    </w:p>
    <w:p w14:paraId="5D45F857" w14:textId="6487D3DD" w:rsidR="006B0C49" w:rsidRPr="006B0C49" w:rsidRDefault="009F5E6D" w:rsidP="006B0C49">
      <w:pPr>
        <w:spacing w:line="276" w:lineRule="auto"/>
        <w:rPr>
          <w:rFonts w:ascii="Garamond" w:hAnsi="Garamond"/>
          <w:b/>
          <w:bCs/>
          <w:sz w:val="24"/>
          <w:szCs w:val="24"/>
        </w:rPr>
      </w:pPr>
      <w:proofErr w:type="spellStart"/>
      <w:r w:rsidRPr="0055616C">
        <w:rPr>
          <w:rFonts w:ascii="Garamond" w:hAnsi="Garamond"/>
          <w:bCs/>
          <w:i/>
          <w:sz w:val="24"/>
          <w:szCs w:val="24"/>
          <w:u w:val="single"/>
        </w:rPr>
        <w:lastRenderedPageBreak/>
        <w:t>Campanha</w:t>
      </w:r>
      <w:proofErr w:type="spellEnd"/>
      <w:r w:rsidRPr="0055616C">
        <w:rPr>
          <w:rFonts w:ascii="Garamond" w:hAnsi="Garamond"/>
          <w:bCs/>
          <w:i/>
          <w:sz w:val="24"/>
          <w:szCs w:val="24"/>
          <w:u w:val="single"/>
        </w:rPr>
        <w:t xml:space="preserve"> Nacional </w:t>
      </w:r>
      <w:proofErr w:type="spellStart"/>
      <w:r w:rsidRPr="0055616C">
        <w:rPr>
          <w:rFonts w:ascii="Garamond" w:hAnsi="Garamond"/>
          <w:bCs/>
          <w:i/>
          <w:sz w:val="24"/>
          <w:szCs w:val="24"/>
          <w:u w:val="single"/>
        </w:rPr>
        <w:t>pelo</w:t>
      </w:r>
      <w:proofErr w:type="spellEnd"/>
      <w:r w:rsidRPr="0055616C">
        <w:rPr>
          <w:rFonts w:ascii="Garamond" w:hAnsi="Garamond"/>
          <w:bCs/>
          <w:i/>
          <w:sz w:val="24"/>
          <w:szCs w:val="24"/>
          <w:u w:val="single"/>
        </w:rPr>
        <w:t xml:space="preserve"> </w:t>
      </w:r>
      <w:proofErr w:type="spellStart"/>
      <w:r w:rsidRPr="0055616C">
        <w:rPr>
          <w:rFonts w:ascii="Garamond" w:hAnsi="Garamond"/>
          <w:bCs/>
          <w:i/>
          <w:sz w:val="24"/>
          <w:szCs w:val="24"/>
          <w:u w:val="single"/>
        </w:rPr>
        <w:t>Direito</w:t>
      </w:r>
      <w:proofErr w:type="spellEnd"/>
      <w:r w:rsidRPr="0055616C">
        <w:rPr>
          <w:rFonts w:ascii="Garamond" w:hAnsi="Garamond"/>
          <w:bCs/>
          <w:i/>
          <w:sz w:val="24"/>
          <w:szCs w:val="24"/>
          <w:u w:val="single"/>
        </w:rPr>
        <w:t xml:space="preserve"> à </w:t>
      </w:r>
      <w:proofErr w:type="spellStart"/>
      <w:r w:rsidRPr="0055616C">
        <w:rPr>
          <w:rFonts w:ascii="Garamond" w:hAnsi="Garamond"/>
          <w:bCs/>
          <w:i/>
          <w:sz w:val="24"/>
          <w:szCs w:val="24"/>
          <w:u w:val="single"/>
        </w:rPr>
        <w:t>Educação</w:t>
      </w:r>
      <w:proofErr w:type="spellEnd"/>
      <w:r w:rsidR="00003A54">
        <w:rPr>
          <w:rFonts w:ascii="Garamond" w:hAnsi="Garamond"/>
          <w:bCs/>
          <w:sz w:val="24"/>
          <w:szCs w:val="24"/>
          <w:u w:val="single"/>
        </w:rPr>
        <w:t xml:space="preserve"> </w:t>
      </w:r>
      <w:r w:rsidR="00003A54" w:rsidRPr="00003A54">
        <w:rPr>
          <w:rFonts w:ascii="Garamond" w:hAnsi="Garamond"/>
          <w:bCs/>
          <w:sz w:val="24"/>
          <w:szCs w:val="24"/>
          <w:u w:val="single"/>
        </w:rPr>
        <w:t>(BCRE</w:t>
      </w:r>
      <w:r w:rsidR="00003A54" w:rsidRPr="00003A54">
        <w:rPr>
          <w:rFonts w:ascii="Garamond" w:hAnsi="Garamond"/>
          <w:bCs/>
          <w:sz w:val="24"/>
          <w:szCs w:val="24"/>
        </w:rPr>
        <w:t>)</w:t>
      </w:r>
      <w:r w:rsidR="00BE4B9E">
        <w:rPr>
          <w:rFonts w:ascii="Garamond" w:hAnsi="Garamond"/>
          <w:bCs/>
          <w:sz w:val="24"/>
          <w:szCs w:val="24"/>
        </w:rPr>
        <w:t xml:space="preserve"> </w:t>
      </w:r>
      <w:r w:rsidR="00003A54">
        <w:rPr>
          <w:rFonts w:ascii="Garamond" w:hAnsi="Garamond"/>
          <w:bCs/>
          <w:sz w:val="24"/>
          <w:szCs w:val="24"/>
          <w:lang w:val="en-US"/>
        </w:rPr>
        <w:t xml:space="preserve">was established </w:t>
      </w:r>
      <w:r w:rsidR="006B0C49" w:rsidRPr="006B0C49">
        <w:rPr>
          <w:rFonts w:ascii="Garamond" w:hAnsi="Garamond"/>
          <w:bCs/>
          <w:sz w:val="24"/>
          <w:szCs w:val="24"/>
          <w:lang w:val="en-US"/>
        </w:rPr>
        <w:t>in 2000 in the run up to the World Education Forum in Dakar</w:t>
      </w:r>
      <w:r w:rsidR="00003A54">
        <w:rPr>
          <w:rFonts w:ascii="Garamond" w:hAnsi="Garamond"/>
          <w:bCs/>
          <w:sz w:val="24"/>
          <w:szCs w:val="24"/>
          <w:lang w:val="en-US"/>
        </w:rPr>
        <w:t>. It</w:t>
      </w:r>
      <w:r w:rsidR="006B0C49" w:rsidRPr="006B0C49">
        <w:rPr>
          <w:rFonts w:ascii="Garamond" w:hAnsi="Garamond"/>
          <w:bCs/>
          <w:sz w:val="24"/>
          <w:szCs w:val="24"/>
          <w:lang w:val="en-US"/>
        </w:rPr>
        <w:t xml:space="preserve"> is the largest and most active civil society network in defense of public education in Brazil. It </w:t>
      </w:r>
      <w:r w:rsidR="00003A54">
        <w:rPr>
          <w:rFonts w:ascii="Garamond" w:hAnsi="Garamond"/>
          <w:bCs/>
          <w:sz w:val="24"/>
          <w:szCs w:val="24"/>
          <w:lang w:val="en-US"/>
        </w:rPr>
        <w:t>has</w:t>
      </w:r>
      <w:r w:rsidR="006B0C49" w:rsidRPr="006B0C49">
        <w:rPr>
          <w:rFonts w:ascii="Garamond" w:hAnsi="Garamond"/>
          <w:bCs/>
          <w:sz w:val="24"/>
          <w:szCs w:val="24"/>
          <w:lang w:val="en-US"/>
        </w:rPr>
        <w:t xml:space="preserve"> twenty-five regional committees and has nearly 200 member organizations, </w:t>
      </w:r>
      <w:r w:rsidR="00003A54">
        <w:rPr>
          <w:rFonts w:ascii="Garamond" w:hAnsi="Garamond"/>
          <w:bCs/>
          <w:sz w:val="24"/>
          <w:szCs w:val="24"/>
          <w:lang w:val="en-US"/>
        </w:rPr>
        <w:t>including</w:t>
      </w:r>
      <w:r w:rsidR="00003A54" w:rsidRPr="006B0C49">
        <w:rPr>
          <w:rFonts w:ascii="Garamond" w:hAnsi="Garamond"/>
          <w:bCs/>
          <w:sz w:val="24"/>
          <w:szCs w:val="24"/>
          <w:lang w:val="en-US"/>
        </w:rPr>
        <w:t xml:space="preserve"> grassroots civil society organizations, educa</w:t>
      </w:r>
      <w:r w:rsidR="00003A54">
        <w:rPr>
          <w:rFonts w:ascii="Garamond" w:hAnsi="Garamond"/>
          <w:bCs/>
          <w:sz w:val="24"/>
          <w:szCs w:val="24"/>
          <w:lang w:val="en-US"/>
        </w:rPr>
        <w:t>tion worker unions, NGOs, INGOs, social</w:t>
      </w:r>
      <w:r w:rsidR="00003A54" w:rsidRPr="006B0C49">
        <w:rPr>
          <w:rFonts w:ascii="Garamond" w:hAnsi="Garamond"/>
          <w:bCs/>
          <w:sz w:val="24"/>
          <w:szCs w:val="24"/>
          <w:lang w:val="en-US"/>
        </w:rPr>
        <w:t xml:space="preserve"> movements such as the Brazilian Landless Workers Movement </w:t>
      </w:r>
      <w:r w:rsidR="006B0C49" w:rsidRPr="006B0C49">
        <w:rPr>
          <w:rFonts w:ascii="Garamond" w:hAnsi="Garamond"/>
          <w:bCs/>
          <w:sz w:val="24"/>
          <w:szCs w:val="24"/>
          <w:lang w:val="en-US"/>
        </w:rPr>
        <w:t xml:space="preserve">as well as thousands of individual members. </w:t>
      </w:r>
    </w:p>
    <w:p w14:paraId="1F96D37F" w14:textId="1FFD28A5" w:rsidR="007E68EA" w:rsidRPr="006B0C49" w:rsidRDefault="006B0C49" w:rsidP="007E68EA">
      <w:pPr>
        <w:spacing w:line="276" w:lineRule="auto"/>
        <w:rPr>
          <w:rFonts w:ascii="Garamond" w:hAnsi="Garamond"/>
          <w:bCs/>
          <w:sz w:val="24"/>
          <w:szCs w:val="24"/>
        </w:rPr>
      </w:pPr>
      <w:r w:rsidRPr="006B0C49">
        <w:rPr>
          <w:rFonts w:ascii="Garamond" w:hAnsi="Garamond"/>
          <w:bCs/>
          <w:sz w:val="24"/>
          <w:szCs w:val="24"/>
          <w:lang w:val="en-US"/>
        </w:rPr>
        <w:t xml:space="preserve">BCRE has an impressive track record </w:t>
      </w:r>
      <w:r w:rsidR="00944425">
        <w:rPr>
          <w:rFonts w:ascii="Garamond" w:hAnsi="Garamond"/>
          <w:bCs/>
          <w:sz w:val="24"/>
          <w:szCs w:val="24"/>
          <w:lang w:val="en-US"/>
        </w:rPr>
        <w:t>of successful</w:t>
      </w:r>
      <w:r w:rsidR="00944425" w:rsidRPr="006B0C49">
        <w:rPr>
          <w:rFonts w:ascii="Garamond" w:hAnsi="Garamond"/>
          <w:bCs/>
          <w:sz w:val="24"/>
          <w:szCs w:val="24"/>
          <w:lang w:val="en-US"/>
        </w:rPr>
        <w:t xml:space="preserve"> </w:t>
      </w:r>
      <w:r w:rsidRPr="006B0C49">
        <w:rPr>
          <w:rFonts w:ascii="Garamond" w:hAnsi="Garamond"/>
          <w:bCs/>
          <w:sz w:val="24"/>
          <w:szCs w:val="24"/>
          <w:lang w:val="en-US"/>
        </w:rPr>
        <w:t>advocac</w:t>
      </w:r>
      <w:r w:rsidR="00355898">
        <w:rPr>
          <w:rFonts w:ascii="Garamond" w:hAnsi="Garamond"/>
          <w:bCs/>
          <w:sz w:val="24"/>
          <w:szCs w:val="24"/>
          <w:lang w:val="en-US"/>
        </w:rPr>
        <w:t xml:space="preserve">y campaigns and </w:t>
      </w:r>
      <w:r w:rsidR="00944425">
        <w:rPr>
          <w:rFonts w:ascii="Garamond" w:hAnsi="Garamond"/>
          <w:bCs/>
          <w:sz w:val="24"/>
          <w:szCs w:val="24"/>
          <w:lang w:val="en-US"/>
        </w:rPr>
        <w:t xml:space="preserve">is a </w:t>
      </w:r>
      <w:r w:rsidRPr="006B0C49">
        <w:rPr>
          <w:rFonts w:ascii="Garamond" w:hAnsi="Garamond"/>
          <w:bCs/>
          <w:sz w:val="24"/>
          <w:szCs w:val="24"/>
          <w:lang w:val="en-US"/>
        </w:rPr>
        <w:t>respected a</w:t>
      </w:r>
      <w:r w:rsidR="00355898">
        <w:rPr>
          <w:rFonts w:ascii="Garamond" w:hAnsi="Garamond"/>
          <w:bCs/>
          <w:sz w:val="24"/>
          <w:szCs w:val="24"/>
          <w:lang w:val="en-US"/>
        </w:rPr>
        <w:t>nd influential organization</w:t>
      </w:r>
      <w:r w:rsidR="00355898" w:rsidRPr="00355898">
        <w:rPr>
          <w:rFonts w:ascii="Garamond" w:hAnsi="Garamond"/>
          <w:bCs/>
          <w:sz w:val="24"/>
          <w:szCs w:val="24"/>
          <w:lang w:val="en-US"/>
        </w:rPr>
        <w:t xml:space="preserve"> </w:t>
      </w:r>
      <w:r w:rsidR="00355898">
        <w:rPr>
          <w:rFonts w:ascii="Garamond" w:hAnsi="Garamond"/>
          <w:bCs/>
          <w:sz w:val="24"/>
          <w:szCs w:val="24"/>
          <w:lang w:val="en-US"/>
        </w:rPr>
        <w:t xml:space="preserve">in Brazil. It </w:t>
      </w:r>
      <w:r w:rsidRPr="006B0C49">
        <w:rPr>
          <w:rFonts w:ascii="Garamond" w:hAnsi="Garamond"/>
          <w:bCs/>
          <w:sz w:val="24"/>
          <w:szCs w:val="24"/>
          <w:lang w:val="en-US"/>
        </w:rPr>
        <w:t>spearheaded a number of advocac</w:t>
      </w:r>
      <w:r w:rsidR="00355898">
        <w:rPr>
          <w:rFonts w:ascii="Garamond" w:hAnsi="Garamond"/>
          <w:bCs/>
          <w:sz w:val="24"/>
          <w:szCs w:val="24"/>
          <w:lang w:val="en-US"/>
        </w:rPr>
        <w:t xml:space="preserve">y campaigns that </w:t>
      </w:r>
      <w:r w:rsidRPr="006B0C49">
        <w:rPr>
          <w:rFonts w:ascii="Garamond" w:hAnsi="Garamond"/>
          <w:bCs/>
          <w:sz w:val="24"/>
          <w:szCs w:val="24"/>
          <w:lang w:val="en-US"/>
        </w:rPr>
        <w:t xml:space="preserve">led to significant gains in public funding for education, teacher remuneration </w:t>
      </w:r>
      <w:r w:rsidRPr="00E435B5">
        <w:rPr>
          <w:rFonts w:ascii="Garamond" w:hAnsi="Garamond"/>
          <w:bCs/>
          <w:sz w:val="24"/>
          <w:szCs w:val="24"/>
          <w:lang w:val="en-US"/>
        </w:rPr>
        <w:t xml:space="preserve">and early childhood education. </w:t>
      </w:r>
      <w:r w:rsidR="00E435B5">
        <w:rPr>
          <w:rFonts w:ascii="Garamond" w:hAnsi="Garamond"/>
          <w:bCs/>
          <w:sz w:val="24"/>
          <w:szCs w:val="24"/>
          <w:lang w:val="en-US"/>
        </w:rPr>
        <w:t>ESP</w:t>
      </w:r>
      <w:r w:rsidR="00003A54" w:rsidRPr="00E435B5">
        <w:rPr>
          <w:rFonts w:ascii="Garamond" w:hAnsi="Garamond"/>
          <w:bCs/>
          <w:sz w:val="24"/>
          <w:szCs w:val="24"/>
        </w:rPr>
        <w:t xml:space="preserve"> made</w:t>
      </w:r>
      <w:r w:rsidR="007E68EA" w:rsidRPr="00E435B5">
        <w:rPr>
          <w:rFonts w:ascii="Garamond" w:hAnsi="Garamond"/>
          <w:bCs/>
          <w:sz w:val="24"/>
          <w:szCs w:val="24"/>
        </w:rPr>
        <w:t xml:space="preserve"> a separate institutional support grant to the BCRE </w:t>
      </w:r>
      <w:r w:rsidR="00003A54" w:rsidRPr="00E435B5">
        <w:rPr>
          <w:rFonts w:ascii="Garamond" w:hAnsi="Garamond"/>
          <w:bCs/>
          <w:sz w:val="24"/>
          <w:szCs w:val="24"/>
        </w:rPr>
        <w:t>in</w:t>
      </w:r>
      <w:r w:rsidR="007E68EA" w:rsidRPr="00E435B5">
        <w:rPr>
          <w:rFonts w:ascii="Garamond" w:hAnsi="Garamond"/>
          <w:bCs/>
          <w:sz w:val="24"/>
          <w:szCs w:val="24"/>
        </w:rPr>
        <w:t xml:space="preserve"> 2015</w:t>
      </w:r>
      <w:r w:rsidR="00003A54" w:rsidRPr="00E435B5">
        <w:rPr>
          <w:rFonts w:ascii="Garamond" w:hAnsi="Garamond"/>
          <w:bCs/>
          <w:sz w:val="24"/>
          <w:szCs w:val="24"/>
        </w:rPr>
        <w:t>, which</w:t>
      </w:r>
      <w:r w:rsidR="00E435B5">
        <w:rPr>
          <w:rFonts w:ascii="Garamond" w:hAnsi="Garamond"/>
          <w:bCs/>
          <w:sz w:val="24"/>
          <w:szCs w:val="24"/>
        </w:rPr>
        <w:t xml:space="preserve"> </w:t>
      </w:r>
      <w:r w:rsidR="007E68EA" w:rsidRPr="00E435B5">
        <w:rPr>
          <w:rFonts w:ascii="Garamond" w:hAnsi="Garamond"/>
          <w:bCs/>
          <w:sz w:val="24"/>
          <w:szCs w:val="24"/>
        </w:rPr>
        <w:t>support</w:t>
      </w:r>
      <w:r w:rsidR="00E435B5">
        <w:rPr>
          <w:rFonts w:ascii="Garamond" w:hAnsi="Garamond"/>
          <w:bCs/>
          <w:sz w:val="24"/>
          <w:szCs w:val="24"/>
        </w:rPr>
        <w:t>s</w:t>
      </w:r>
      <w:r w:rsidR="00003A54" w:rsidRPr="00E435B5">
        <w:rPr>
          <w:rFonts w:ascii="Garamond" w:hAnsi="Garamond"/>
          <w:bCs/>
          <w:sz w:val="24"/>
          <w:szCs w:val="24"/>
        </w:rPr>
        <w:t xml:space="preserve"> their new advocacy cycle </w:t>
      </w:r>
      <w:r w:rsidR="007E68EA" w:rsidRPr="00E435B5">
        <w:rPr>
          <w:rFonts w:ascii="Garamond" w:hAnsi="Garamond"/>
          <w:bCs/>
          <w:sz w:val="24"/>
          <w:szCs w:val="24"/>
        </w:rPr>
        <w:t xml:space="preserve">around the implementation of the </w:t>
      </w:r>
      <w:r w:rsidR="00355898">
        <w:rPr>
          <w:rFonts w:ascii="Garamond" w:hAnsi="Garamond"/>
          <w:bCs/>
          <w:sz w:val="24"/>
          <w:szCs w:val="24"/>
        </w:rPr>
        <w:t>new</w:t>
      </w:r>
      <w:r w:rsidR="007E68EA" w:rsidRPr="00E435B5">
        <w:rPr>
          <w:rFonts w:ascii="Garamond" w:hAnsi="Garamond"/>
          <w:bCs/>
          <w:sz w:val="24"/>
          <w:szCs w:val="24"/>
        </w:rPr>
        <w:t xml:space="preserve"> National Education </w:t>
      </w:r>
      <w:r w:rsidR="00355898">
        <w:rPr>
          <w:rFonts w:ascii="Garamond" w:hAnsi="Garamond"/>
          <w:bCs/>
          <w:sz w:val="24"/>
          <w:szCs w:val="24"/>
        </w:rPr>
        <w:t>Plan and a</w:t>
      </w:r>
      <w:r w:rsidR="007E68EA" w:rsidRPr="00E435B5">
        <w:rPr>
          <w:rFonts w:ascii="Garamond" w:hAnsi="Garamond"/>
          <w:bCs/>
          <w:sz w:val="24"/>
          <w:szCs w:val="24"/>
        </w:rPr>
        <w:t xml:space="preserve">ctivities </w:t>
      </w:r>
      <w:r w:rsidR="00E435B5" w:rsidRPr="00E435B5">
        <w:rPr>
          <w:rFonts w:ascii="Garamond" w:hAnsi="Garamond"/>
          <w:bCs/>
          <w:sz w:val="24"/>
          <w:szCs w:val="24"/>
        </w:rPr>
        <w:t xml:space="preserve">to support an informed national debate </w:t>
      </w:r>
      <w:r w:rsidR="00355898" w:rsidRPr="00E435B5">
        <w:rPr>
          <w:rFonts w:ascii="Garamond" w:hAnsi="Garamond"/>
          <w:bCs/>
          <w:sz w:val="24"/>
          <w:szCs w:val="24"/>
        </w:rPr>
        <w:t xml:space="preserve">on education privatization </w:t>
      </w:r>
      <w:r w:rsidR="00E435B5" w:rsidRPr="00E435B5">
        <w:rPr>
          <w:rFonts w:ascii="Garamond" w:hAnsi="Garamond"/>
          <w:bCs/>
          <w:sz w:val="24"/>
          <w:szCs w:val="24"/>
        </w:rPr>
        <w:t xml:space="preserve">in Brazil. </w:t>
      </w:r>
    </w:p>
    <w:p w14:paraId="23945A5E" w14:textId="5858BDE3" w:rsidR="0077444B" w:rsidRPr="00EE20F3" w:rsidRDefault="009F5E6D" w:rsidP="00BE4B9E">
      <w:pPr>
        <w:spacing w:before="240" w:line="276" w:lineRule="auto"/>
        <w:rPr>
          <w:rFonts w:ascii="Garamond" w:hAnsi="Garamond"/>
          <w:bCs/>
          <w:sz w:val="24"/>
          <w:szCs w:val="24"/>
          <w:lang w:val="en-US"/>
        </w:rPr>
      </w:pPr>
      <w:r w:rsidRPr="00EE20F3">
        <w:rPr>
          <w:rFonts w:ascii="Garamond" w:hAnsi="Garamond"/>
          <w:bCs/>
          <w:sz w:val="24"/>
          <w:szCs w:val="24"/>
          <w:u w:val="single"/>
        </w:rPr>
        <w:t>Pakistan: Pakistan Campaign for Education (PCE</w:t>
      </w:r>
      <w:r w:rsidRPr="00BE4B9E">
        <w:rPr>
          <w:rFonts w:ascii="Garamond" w:hAnsi="Garamond"/>
          <w:bCs/>
          <w:sz w:val="24"/>
          <w:szCs w:val="24"/>
        </w:rPr>
        <w:t>)</w:t>
      </w:r>
      <w:r w:rsidR="00BE4B9E" w:rsidRPr="00BE4B9E">
        <w:rPr>
          <w:rFonts w:ascii="Garamond" w:hAnsi="Garamond"/>
          <w:bCs/>
          <w:sz w:val="24"/>
          <w:szCs w:val="24"/>
        </w:rPr>
        <w:t xml:space="preserve">: </w:t>
      </w:r>
      <w:r w:rsidR="00BE4B9E">
        <w:rPr>
          <w:rFonts w:ascii="Garamond" w:hAnsi="Garamond"/>
          <w:bCs/>
          <w:sz w:val="24"/>
          <w:szCs w:val="24"/>
          <w:lang w:val="en-US"/>
        </w:rPr>
        <w:t xml:space="preserve">ESP has funded PCE </w:t>
      </w:r>
      <w:r w:rsidR="00D93159">
        <w:rPr>
          <w:rFonts w:ascii="Garamond" w:hAnsi="Garamond"/>
          <w:bCs/>
          <w:sz w:val="24"/>
          <w:szCs w:val="24"/>
          <w:lang w:val="en-US"/>
        </w:rPr>
        <w:t>since 2013 but has collabora</w:t>
      </w:r>
      <w:r w:rsidR="00C5564B">
        <w:rPr>
          <w:rFonts w:ascii="Garamond" w:hAnsi="Garamond"/>
          <w:bCs/>
          <w:sz w:val="24"/>
          <w:szCs w:val="24"/>
          <w:lang w:val="en-US"/>
        </w:rPr>
        <w:t>ted with FOSI-Pakistan to support</w:t>
      </w:r>
      <w:r w:rsidR="00D93159">
        <w:rPr>
          <w:rFonts w:ascii="Garamond" w:hAnsi="Garamond"/>
          <w:bCs/>
          <w:sz w:val="24"/>
          <w:szCs w:val="24"/>
          <w:lang w:val="en-US"/>
        </w:rPr>
        <w:t xml:space="preserve"> </w:t>
      </w:r>
      <w:r w:rsidR="0055616C">
        <w:rPr>
          <w:rFonts w:ascii="Garamond" w:hAnsi="Garamond"/>
          <w:bCs/>
          <w:sz w:val="24"/>
          <w:szCs w:val="24"/>
          <w:lang w:val="en-US"/>
        </w:rPr>
        <w:t xml:space="preserve">the Pakistan national coalition for education, </w:t>
      </w:r>
      <w:r w:rsidR="00D93159">
        <w:rPr>
          <w:rFonts w:ascii="Garamond" w:hAnsi="Garamond"/>
          <w:bCs/>
          <w:sz w:val="24"/>
          <w:szCs w:val="24"/>
          <w:lang w:val="en-US"/>
        </w:rPr>
        <w:t>PCE</w:t>
      </w:r>
      <w:r w:rsidR="0055616C">
        <w:rPr>
          <w:rFonts w:ascii="Garamond" w:hAnsi="Garamond"/>
          <w:bCs/>
          <w:sz w:val="24"/>
          <w:szCs w:val="24"/>
          <w:lang w:val="en-US"/>
        </w:rPr>
        <w:t>,</w:t>
      </w:r>
      <w:r w:rsidR="00D93159">
        <w:rPr>
          <w:rFonts w:ascii="Garamond" w:hAnsi="Garamond"/>
          <w:bCs/>
          <w:sz w:val="24"/>
          <w:szCs w:val="24"/>
          <w:lang w:val="en-US"/>
        </w:rPr>
        <w:t xml:space="preserve"> since 2009. </w:t>
      </w:r>
      <w:r w:rsidR="0077444B" w:rsidRPr="0077444B">
        <w:rPr>
          <w:rFonts w:ascii="Garamond" w:hAnsi="Garamond"/>
          <w:bCs/>
          <w:sz w:val="24"/>
          <w:szCs w:val="24"/>
          <w:lang w:val="en-US"/>
        </w:rPr>
        <w:t>PCE</w:t>
      </w:r>
      <w:r w:rsidR="00C5564B">
        <w:rPr>
          <w:rFonts w:ascii="Garamond" w:hAnsi="Garamond"/>
          <w:bCs/>
          <w:sz w:val="24"/>
          <w:szCs w:val="24"/>
          <w:lang w:val="en-US"/>
        </w:rPr>
        <w:t xml:space="preserve"> was started in </w:t>
      </w:r>
      <w:proofErr w:type="gramStart"/>
      <w:r w:rsidR="00C5564B">
        <w:rPr>
          <w:rFonts w:ascii="Garamond" w:hAnsi="Garamond"/>
          <w:bCs/>
          <w:sz w:val="24"/>
          <w:szCs w:val="24"/>
          <w:lang w:val="en-US"/>
        </w:rPr>
        <w:t>2005,</w:t>
      </w:r>
      <w:proofErr w:type="gramEnd"/>
      <w:r w:rsidR="00C5564B">
        <w:rPr>
          <w:rFonts w:ascii="Garamond" w:hAnsi="Garamond"/>
          <w:bCs/>
          <w:sz w:val="24"/>
          <w:szCs w:val="24"/>
          <w:lang w:val="en-US"/>
        </w:rPr>
        <w:t xml:space="preserve"> it</w:t>
      </w:r>
      <w:r w:rsidR="00D93159">
        <w:rPr>
          <w:rFonts w:ascii="Garamond" w:hAnsi="Garamond"/>
          <w:bCs/>
          <w:sz w:val="24"/>
          <w:szCs w:val="24"/>
          <w:lang w:val="en-US"/>
        </w:rPr>
        <w:t xml:space="preserve"> </w:t>
      </w:r>
      <w:r w:rsidR="0055616C">
        <w:rPr>
          <w:rFonts w:ascii="Garamond" w:hAnsi="Garamond"/>
          <w:bCs/>
          <w:sz w:val="24"/>
          <w:szCs w:val="24"/>
          <w:lang w:val="en-US"/>
        </w:rPr>
        <w:t xml:space="preserve">is </w:t>
      </w:r>
      <w:r w:rsidR="00D93159">
        <w:rPr>
          <w:rFonts w:ascii="Garamond" w:hAnsi="Garamond"/>
          <w:bCs/>
          <w:sz w:val="24"/>
          <w:szCs w:val="24"/>
          <w:lang w:val="en-US"/>
        </w:rPr>
        <w:t xml:space="preserve">an experienced campaigning coalition </w:t>
      </w:r>
      <w:r w:rsidR="0055616C">
        <w:rPr>
          <w:rFonts w:ascii="Garamond" w:hAnsi="Garamond"/>
          <w:bCs/>
          <w:sz w:val="24"/>
          <w:szCs w:val="24"/>
          <w:lang w:val="en-US"/>
        </w:rPr>
        <w:t>with</w:t>
      </w:r>
      <w:r w:rsidR="00D93159">
        <w:rPr>
          <w:rFonts w:ascii="Garamond" w:hAnsi="Garamond"/>
          <w:bCs/>
          <w:sz w:val="24"/>
          <w:szCs w:val="24"/>
          <w:lang w:val="en-US"/>
        </w:rPr>
        <w:t xml:space="preserve"> </w:t>
      </w:r>
      <w:r w:rsidR="0055616C">
        <w:rPr>
          <w:rFonts w:ascii="Garamond" w:hAnsi="Garamond"/>
          <w:bCs/>
          <w:sz w:val="24"/>
          <w:szCs w:val="24"/>
          <w:lang w:val="en-US"/>
        </w:rPr>
        <w:t>over 200 members</w:t>
      </w:r>
      <w:r w:rsidR="0077444B" w:rsidRPr="0077444B">
        <w:rPr>
          <w:rFonts w:ascii="Garamond" w:hAnsi="Garamond"/>
          <w:bCs/>
          <w:sz w:val="24"/>
          <w:szCs w:val="24"/>
          <w:lang w:val="en-US"/>
        </w:rPr>
        <w:t xml:space="preserve">. </w:t>
      </w:r>
      <w:r w:rsidR="0055616C">
        <w:rPr>
          <w:rFonts w:ascii="Garamond" w:hAnsi="Garamond"/>
          <w:bCs/>
          <w:sz w:val="24"/>
          <w:szCs w:val="24"/>
          <w:lang w:val="en-US"/>
        </w:rPr>
        <w:t>PCE</w:t>
      </w:r>
      <w:r w:rsidR="00C5564B">
        <w:rPr>
          <w:rFonts w:ascii="Garamond" w:hAnsi="Garamond"/>
          <w:bCs/>
          <w:sz w:val="24"/>
          <w:szCs w:val="24"/>
          <w:lang w:val="en-US"/>
        </w:rPr>
        <w:t xml:space="preserve"> launched a</w:t>
      </w:r>
      <w:r w:rsidR="00246B01">
        <w:rPr>
          <w:rFonts w:ascii="Garamond" w:hAnsi="Garamond"/>
          <w:bCs/>
          <w:sz w:val="24"/>
          <w:szCs w:val="24"/>
          <w:lang w:val="en-US"/>
        </w:rPr>
        <w:t xml:space="preserve"> significant campaign 6 months before the national election in 2013:</w:t>
      </w:r>
      <w:r w:rsidR="0055616C">
        <w:rPr>
          <w:rFonts w:ascii="Garamond" w:hAnsi="Garamond"/>
          <w:bCs/>
          <w:sz w:val="24"/>
          <w:szCs w:val="24"/>
          <w:lang w:val="en-US"/>
        </w:rPr>
        <w:t xml:space="preserve"> </w:t>
      </w:r>
      <w:r w:rsidR="0077444B" w:rsidRPr="00EE20F3">
        <w:rPr>
          <w:rFonts w:ascii="Garamond" w:hAnsi="Garamond"/>
          <w:bCs/>
          <w:sz w:val="24"/>
          <w:szCs w:val="24"/>
          <w:lang w:val="en-US"/>
        </w:rPr>
        <w:t>Vote for Education</w:t>
      </w:r>
      <w:r w:rsidR="00C5564B">
        <w:rPr>
          <w:rFonts w:ascii="Garamond" w:hAnsi="Garamond"/>
          <w:bCs/>
          <w:sz w:val="24"/>
          <w:szCs w:val="24"/>
          <w:lang w:val="en-US"/>
        </w:rPr>
        <w:t>. This</w:t>
      </w:r>
      <w:r w:rsidR="00246B01">
        <w:rPr>
          <w:rFonts w:ascii="Garamond" w:hAnsi="Garamond"/>
          <w:bCs/>
          <w:sz w:val="24"/>
          <w:szCs w:val="24"/>
          <w:lang w:val="en-US"/>
        </w:rPr>
        <w:t xml:space="preserve"> campaign aimed to strengthen political commitment to </w:t>
      </w:r>
      <w:r w:rsidR="00C5564B">
        <w:rPr>
          <w:rFonts w:ascii="Garamond" w:hAnsi="Garamond"/>
          <w:bCs/>
          <w:sz w:val="24"/>
          <w:szCs w:val="24"/>
          <w:lang w:val="en-US"/>
        </w:rPr>
        <w:t>Article 25-A of the national c</w:t>
      </w:r>
      <w:r w:rsidR="0077444B" w:rsidRPr="00EE20F3">
        <w:rPr>
          <w:rFonts w:ascii="Garamond" w:hAnsi="Garamond"/>
          <w:bCs/>
          <w:sz w:val="24"/>
          <w:szCs w:val="24"/>
          <w:lang w:val="en-US"/>
        </w:rPr>
        <w:t>onstitution,</w:t>
      </w:r>
      <w:r w:rsidR="00246B01">
        <w:rPr>
          <w:rFonts w:ascii="Garamond" w:hAnsi="Garamond"/>
          <w:bCs/>
          <w:sz w:val="24"/>
          <w:szCs w:val="24"/>
          <w:lang w:val="en-US"/>
        </w:rPr>
        <w:t xml:space="preserve"> </w:t>
      </w:r>
      <w:r w:rsidR="00C5564B">
        <w:rPr>
          <w:rFonts w:ascii="Garamond" w:hAnsi="Garamond"/>
          <w:bCs/>
          <w:sz w:val="24"/>
          <w:szCs w:val="24"/>
          <w:lang w:val="en-US"/>
        </w:rPr>
        <w:t xml:space="preserve">which is </w:t>
      </w:r>
      <w:r w:rsidR="00246B01">
        <w:rPr>
          <w:rFonts w:ascii="Garamond" w:hAnsi="Garamond"/>
          <w:bCs/>
          <w:sz w:val="24"/>
          <w:szCs w:val="24"/>
          <w:lang w:val="en-US"/>
        </w:rPr>
        <w:t>on the right to education,</w:t>
      </w:r>
      <w:r w:rsidR="0077444B" w:rsidRPr="00EE20F3">
        <w:rPr>
          <w:rFonts w:ascii="Garamond" w:hAnsi="Garamond"/>
          <w:bCs/>
          <w:sz w:val="24"/>
          <w:szCs w:val="24"/>
          <w:lang w:val="en-US"/>
        </w:rPr>
        <w:t xml:space="preserve"> </w:t>
      </w:r>
      <w:r w:rsidR="00246B01">
        <w:rPr>
          <w:rFonts w:ascii="Garamond" w:hAnsi="Garamond"/>
          <w:bCs/>
          <w:sz w:val="24"/>
          <w:szCs w:val="24"/>
          <w:lang w:val="en-US"/>
        </w:rPr>
        <w:t>by placing it firmly on the agenda</w:t>
      </w:r>
      <w:r w:rsidR="0077444B" w:rsidRPr="00EE20F3">
        <w:rPr>
          <w:rFonts w:ascii="Garamond" w:hAnsi="Garamond"/>
          <w:bCs/>
          <w:sz w:val="24"/>
          <w:szCs w:val="24"/>
          <w:lang w:val="en-US"/>
        </w:rPr>
        <w:t xml:space="preserve"> </w:t>
      </w:r>
      <w:r w:rsidR="00C5564B">
        <w:rPr>
          <w:rFonts w:ascii="Garamond" w:hAnsi="Garamond"/>
          <w:bCs/>
          <w:sz w:val="24"/>
          <w:szCs w:val="24"/>
          <w:lang w:val="en-US"/>
        </w:rPr>
        <w:t>during</w:t>
      </w:r>
      <w:r w:rsidR="00246B01">
        <w:rPr>
          <w:rFonts w:ascii="Garamond" w:hAnsi="Garamond"/>
          <w:bCs/>
          <w:sz w:val="24"/>
          <w:szCs w:val="24"/>
          <w:lang w:val="en-US"/>
        </w:rPr>
        <w:t xml:space="preserve"> the e</w:t>
      </w:r>
      <w:r w:rsidR="0077444B" w:rsidRPr="00EE20F3">
        <w:rPr>
          <w:rFonts w:ascii="Garamond" w:hAnsi="Garamond"/>
          <w:bCs/>
          <w:sz w:val="24"/>
          <w:szCs w:val="24"/>
          <w:lang w:val="en-US"/>
        </w:rPr>
        <w:t xml:space="preserve">lection </w:t>
      </w:r>
      <w:r w:rsidR="00246B01">
        <w:rPr>
          <w:rFonts w:ascii="Garamond" w:hAnsi="Garamond"/>
          <w:bCs/>
          <w:sz w:val="24"/>
          <w:szCs w:val="24"/>
          <w:lang w:val="en-US"/>
        </w:rPr>
        <w:t>c</w:t>
      </w:r>
      <w:r w:rsidR="0077444B" w:rsidRPr="00EE20F3">
        <w:rPr>
          <w:rFonts w:ascii="Garamond" w:hAnsi="Garamond"/>
          <w:bCs/>
          <w:sz w:val="24"/>
          <w:szCs w:val="24"/>
          <w:lang w:val="en-US"/>
        </w:rPr>
        <w:t>ampaign</w:t>
      </w:r>
      <w:r w:rsidR="00246B01">
        <w:rPr>
          <w:rFonts w:ascii="Garamond" w:hAnsi="Garamond"/>
          <w:bCs/>
          <w:sz w:val="24"/>
          <w:szCs w:val="24"/>
          <w:lang w:val="en-US"/>
        </w:rPr>
        <w:t>s.</w:t>
      </w:r>
      <w:r w:rsidR="0077444B" w:rsidRPr="00EE20F3">
        <w:rPr>
          <w:rFonts w:ascii="Garamond" w:hAnsi="Garamond"/>
          <w:bCs/>
          <w:sz w:val="24"/>
          <w:szCs w:val="24"/>
          <w:lang w:val="en-US"/>
        </w:rPr>
        <w:t xml:space="preserve"> </w:t>
      </w:r>
      <w:r w:rsidR="00C5564B">
        <w:rPr>
          <w:rFonts w:ascii="Garamond" w:hAnsi="Garamond"/>
          <w:bCs/>
          <w:sz w:val="24"/>
          <w:szCs w:val="24"/>
          <w:lang w:val="en-US"/>
        </w:rPr>
        <w:t>The Vote for Education campaign achieved vast media coverage/</w:t>
      </w:r>
    </w:p>
    <w:p w14:paraId="65F267CD" w14:textId="0A597555" w:rsidR="00B83FAD" w:rsidRPr="00EE20F3" w:rsidRDefault="00270C41" w:rsidP="00B83FAD">
      <w:pPr>
        <w:spacing w:line="276" w:lineRule="auto"/>
        <w:rPr>
          <w:rFonts w:ascii="Garamond" w:hAnsi="Garamond"/>
          <w:bCs/>
          <w:sz w:val="24"/>
          <w:szCs w:val="24"/>
          <w:lang w:val="en-US"/>
        </w:rPr>
      </w:pPr>
      <w:r>
        <w:rPr>
          <w:rFonts w:ascii="Garamond" w:hAnsi="Garamond"/>
          <w:bCs/>
          <w:sz w:val="24"/>
          <w:szCs w:val="24"/>
          <w:lang w:val="en-US"/>
        </w:rPr>
        <w:t xml:space="preserve">PCE has organized </w:t>
      </w:r>
      <w:r w:rsidR="00C5564B">
        <w:rPr>
          <w:rFonts w:ascii="Garamond" w:hAnsi="Garamond"/>
          <w:bCs/>
          <w:sz w:val="24"/>
          <w:szCs w:val="24"/>
          <w:lang w:val="en-US"/>
        </w:rPr>
        <w:t xml:space="preserve">several </w:t>
      </w:r>
      <w:r>
        <w:rPr>
          <w:rFonts w:ascii="Garamond" w:hAnsi="Garamond"/>
          <w:bCs/>
          <w:sz w:val="24"/>
          <w:szCs w:val="24"/>
          <w:lang w:val="en-US"/>
        </w:rPr>
        <w:t>other campaigns</w:t>
      </w:r>
      <w:r w:rsidR="00C5564B">
        <w:rPr>
          <w:rFonts w:ascii="Garamond" w:hAnsi="Garamond"/>
          <w:bCs/>
          <w:sz w:val="24"/>
          <w:szCs w:val="24"/>
          <w:lang w:val="en-US"/>
        </w:rPr>
        <w:t>, including one</w:t>
      </w:r>
      <w:r>
        <w:rPr>
          <w:rFonts w:ascii="Garamond" w:hAnsi="Garamond"/>
          <w:bCs/>
          <w:sz w:val="24"/>
          <w:szCs w:val="24"/>
          <w:lang w:val="en-US"/>
        </w:rPr>
        <w:t xml:space="preserve"> </w:t>
      </w:r>
      <w:r w:rsidR="00944425">
        <w:rPr>
          <w:rFonts w:ascii="Garamond" w:hAnsi="Garamond"/>
          <w:bCs/>
          <w:sz w:val="24"/>
          <w:szCs w:val="24"/>
          <w:lang w:val="en-US"/>
        </w:rPr>
        <w:t>on girls</w:t>
      </w:r>
      <w:r w:rsidR="00C5564B">
        <w:rPr>
          <w:rFonts w:ascii="Garamond" w:hAnsi="Garamond"/>
          <w:bCs/>
          <w:sz w:val="24"/>
          <w:szCs w:val="24"/>
          <w:lang w:val="en-US"/>
        </w:rPr>
        <w:t>’</w:t>
      </w:r>
      <w:r w:rsidR="00944425">
        <w:rPr>
          <w:rFonts w:ascii="Garamond" w:hAnsi="Garamond"/>
          <w:bCs/>
          <w:sz w:val="24"/>
          <w:szCs w:val="24"/>
          <w:lang w:val="en-US"/>
        </w:rPr>
        <w:t xml:space="preserve"> education</w:t>
      </w:r>
      <w:r w:rsidR="00C5564B">
        <w:rPr>
          <w:rFonts w:ascii="Garamond" w:hAnsi="Garamond"/>
          <w:bCs/>
          <w:sz w:val="24"/>
          <w:szCs w:val="24"/>
          <w:lang w:val="en-US"/>
        </w:rPr>
        <w:t xml:space="preserve">, another on </w:t>
      </w:r>
      <w:r w:rsidR="00944425">
        <w:rPr>
          <w:rFonts w:ascii="Garamond" w:hAnsi="Garamond"/>
          <w:bCs/>
          <w:sz w:val="24"/>
          <w:szCs w:val="24"/>
          <w:lang w:val="en-US"/>
        </w:rPr>
        <w:t>budget monitoring</w:t>
      </w:r>
      <w:r w:rsidRPr="0077444B">
        <w:rPr>
          <w:rFonts w:ascii="Garamond" w:hAnsi="Garamond"/>
          <w:bCs/>
          <w:sz w:val="24"/>
          <w:szCs w:val="24"/>
          <w:lang w:val="en-US"/>
        </w:rPr>
        <w:t xml:space="preserve"> </w:t>
      </w:r>
      <w:r>
        <w:rPr>
          <w:rFonts w:ascii="Garamond" w:hAnsi="Garamond"/>
          <w:bCs/>
          <w:sz w:val="24"/>
          <w:szCs w:val="24"/>
          <w:lang w:val="en-US"/>
        </w:rPr>
        <w:t xml:space="preserve">and a </w:t>
      </w:r>
      <w:r w:rsidRPr="0077444B">
        <w:rPr>
          <w:rFonts w:ascii="Garamond" w:hAnsi="Garamond"/>
          <w:bCs/>
          <w:sz w:val="24"/>
          <w:szCs w:val="24"/>
          <w:lang w:val="en-US"/>
        </w:rPr>
        <w:t>con</w:t>
      </w:r>
      <w:r>
        <w:rPr>
          <w:rFonts w:ascii="Garamond" w:hAnsi="Garamond"/>
          <w:bCs/>
          <w:sz w:val="24"/>
          <w:szCs w:val="24"/>
          <w:lang w:val="en-US"/>
        </w:rPr>
        <w:t xml:space="preserve">sultative process around the Post 2015 goals. Their tools and tactics include </w:t>
      </w:r>
      <w:r w:rsidR="00E85918">
        <w:rPr>
          <w:rFonts w:ascii="Garamond" w:hAnsi="Garamond"/>
          <w:bCs/>
          <w:sz w:val="24"/>
          <w:szCs w:val="24"/>
          <w:lang w:val="en-US"/>
        </w:rPr>
        <w:t>t</w:t>
      </w:r>
      <w:r w:rsidR="003E429E" w:rsidRPr="00EE20F3">
        <w:rPr>
          <w:rFonts w:ascii="Garamond" w:hAnsi="Garamond"/>
          <w:bCs/>
          <w:sz w:val="24"/>
          <w:szCs w:val="24"/>
          <w:lang w:val="en-US"/>
        </w:rPr>
        <w:t xml:space="preserve">alk </w:t>
      </w:r>
      <w:r w:rsidR="00E85918">
        <w:rPr>
          <w:rFonts w:ascii="Garamond" w:hAnsi="Garamond"/>
          <w:bCs/>
          <w:sz w:val="24"/>
          <w:szCs w:val="24"/>
          <w:lang w:val="en-US"/>
        </w:rPr>
        <w:t>s</w:t>
      </w:r>
      <w:r w:rsidR="003E429E" w:rsidRPr="00EE20F3">
        <w:rPr>
          <w:rFonts w:ascii="Garamond" w:hAnsi="Garamond"/>
          <w:bCs/>
          <w:sz w:val="24"/>
          <w:szCs w:val="24"/>
          <w:lang w:val="en-US"/>
        </w:rPr>
        <w:t xml:space="preserve">hows on </w:t>
      </w:r>
      <w:r w:rsidR="00E85918">
        <w:rPr>
          <w:rFonts w:ascii="Garamond" w:hAnsi="Garamond"/>
          <w:bCs/>
          <w:sz w:val="24"/>
          <w:szCs w:val="24"/>
          <w:lang w:val="en-US"/>
        </w:rPr>
        <w:t>e</w:t>
      </w:r>
      <w:r w:rsidR="003E429E" w:rsidRPr="00EE20F3">
        <w:rPr>
          <w:rFonts w:ascii="Garamond" w:hAnsi="Garamond"/>
          <w:bCs/>
          <w:sz w:val="24"/>
          <w:szCs w:val="24"/>
          <w:lang w:val="en-US"/>
        </w:rPr>
        <w:t xml:space="preserve">lectronic </w:t>
      </w:r>
      <w:r w:rsidR="00E85918">
        <w:rPr>
          <w:rFonts w:ascii="Garamond" w:hAnsi="Garamond"/>
          <w:bCs/>
          <w:sz w:val="24"/>
          <w:szCs w:val="24"/>
          <w:lang w:val="en-US"/>
        </w:rPr>
        <w:t>m</w:t>
      </w:r>
      <w:r w:rsidR="003E429E" w:rsidRPr="00EE20F3">
        <w:rPr>
          <w:rFonts w:ascii="Garamond" w:hAnsi="Garamond"/>
          <w:bCs/>
          <w:sz w:val="24"/>
          <w:szCs w:val="24"/>
          <w:lang w:val="en-US"/>
        </w:rPr>
        <w:t>edia</w:t>
      </w:r>
      <w:r>
        <w:rPr>
          <w:rFonts w:ascii="Garamond" w:hAnsi="Garamond"/>
          <w:bCs/>
          <w:sz w:val="24"/>
          <w:szCs w:val="24"/>
          <w:lang w:val="en-US"/>
        </w:rPr>
        <w:t xml:space="preserve">, </w:t>
      </w:r>
      <w:r w:rsidRPr="0077444B">
        <w:rPr>
          <w:rFonts w:ascii="Garamond" w:hAnsi="Garamond"/>
          <w:bCs/>
          <w:sz w:val="24"/>
          <w:szCs w:val="24"/>
          <w:lang w:val="en-US"/>
        </w:rPr>
        <w:t>updates on Facebook and Twitter</w:t>
      </w:r>
      <w:r>
        <w:rPr>
          <w:rFonts w:ascii="Garamond" w:hAnsi="Garamond"/>
          <w:bCs/>
          <w:sz w:val="24"/>
          <w:szCs w:val="24"/>
          <w:lang w:val="en-US"/>
        </w:rPr>
        <w:t>,</w:t>
      </w:r>
      <w:r w:rsidRPr="0077444B">
        <w:rPr>
          <w:rFonts w:ascii="Garamond" w:hAnsi="Garamond"/>
          <w:bCs/>
          <w:sz w:val="24"/>
          <w:szCs w:val="24"/>
          <w:lang w:val="en-US"/>
        </w:rPr>
        <w:t xml:space="preserve"> </w:t>
      </w:r>
      <w:r>
        <w:rPr>
          <w:rFonts w:ascii="Garamond" w:hAnsi="Garamond"/>
          <w:bCs/>
          <w:sz w:val="24"/>
          <w:szCs w:val="24"/>
          <w:lang w:val="en-US"/>
        </w:rPr>
        <w:t xml:space="preserve">big </w:t>
      </w:r>
      <w:r w:rsidR="003E429E">
        <w:rPr>
          <w:rFonts w:ascii="Garamond" w:hAnsi="Garamond"/>
          <w:bCs/>
          <w:sz w:val="24"/>
          <w:szCs w:val="24"/>
          <w:lang w:val="en-US"/>
        </w:rPr>
        <w:t>w</w:t>
      </w:r>
      <w:r w:rsidR="0077444B" w:rsidRPr="00EE20F3">
        <w:rPr>
          <w:rFonts w:ascii="Garamond" w:hAnsi="Garamond"/>
          <w:bCs/>
          <w:sz w:val="24"/>
          <w:szCs w:val="24"/>
          <w:lang w:val="en-US"/>
        </w:rPr>
        <w:t>alk</w:t>
      </w:r>
      <w:r w:rsidR="003E429E" w:rsidRPr="00EE20F3">
        <w:rPr>
          <w:rFonts w:ascii="Garamond" w:hAnsi="Garamond"/>
          <w:bCs/>
          <w:sz w:val="24"/>
          <w:szCs w:val="24"/>
          <w:lang w:val="en-US"/>
        </w:rPr>
        <w:t>s</w:t>
      </w:r>
      <w:r>
        <w:rPr>
          <w:rFonts w:ascii="Garamond" w:hAnsi="Garamond"/>
          <w:bCs/>
          <w:sz w:val="24"/>
          <w:szCs w:val="24"/>
          <w:lang w:val="en-US"/>
        </w:rPr>
        <w:t>,</w:t>
      </w:r>
      <w:r w:rsidR="00E85918">
        <w:rPr>
          <w:rFonts w:ascii="Garamond" w:hAnsi="Garamond"/>
          <w:bCs/>
          <w:sz w:val="24"/>
          <w:szCs w:val="24"/>
          <w:lang w:val="en-US"/>
        </w:rPr>
        <w:t xml:space="preserve"> r</w:t>
      </w:r>
      <w:r w:rsidR="003E429E" w:rsidRPr="00EE20F3">
        <w:rPr>
          <w:rFonts w:ascii="Garamond" w:hAnsi="Garamond"/>
          <w:bCs/>
          <w:sz w:val="24"/>
          <w:szCs w:val="24"/>
          <w:lang w:val="en-US"/>
        </w:rPr>
        <w:t>allies</w:t>
      </w:r>
      <w:r>
        <w:rPr>
          <w:rFonts w:ascii="Garamond" w:hAnsi="Garamond"/>
          <w:bCs/>
          <w:sz w:val="24"/>
          <w:szCs w:val="24"/>
          <w:lang w:val="en-US"/>
        </w:rPr>
        <w:t>,</w:t>
      </w:r>
      <w:r w:rsidR="003E429E" w:rsidRPr="00EE20F3">
        <w:rPr>
          <w:rFonts w:ascii="Garamond" w:hAnsi="Garamond"/>
          <w:bCs/>
          <w:sz w:val="24"/>
          <w:szCs w:val="24"/>
          <w:lang w:val="en-US"/>
        </w:rPr>
        <w:t xml:space="preserve"> </w:t>
      </w:r>
      <w:r w:rsidR="00E85918">
        <w:rPr>
          <w:rFonts w:ascii="Garamond" w:hAnsi="Garamond"/>
          <w:bCs/>
          <w:sz w:val="24"/>
          <w:szCs w:val="24"/>
          <w:lang w:val="en-US"/>
        </w:rPr>
        <w:t>p</w:t>
      </w:r>
      <w:r w:rsidR="003E429E" w:rsidRPr="00EE20F3">
        <w:rPr>
          <w:rFonts w:ascii="Garamond" w:hAnsi="Garamond"/>
          <w:bCs/>
          <w:sz w:val="24"/>
          <w:szCs w:val="24"/>
          <w:lang w:val="en-US"/>
        </w:rPr>
        <w:t xml:space="preserve">ress </w:t>
      </w:r>
      <w:r w:rsidR="00E85918">
        <w:rPr>
          <w:rFonts w:ascii="Garamond" w:hAnsi="Garamond"/>
          <w:bCs/>
          <w:sz w:val="24"/>
          <w:szCs w:val="24"/>
          <w:lang w:val="en-US"/>
        </w:rPr>
        <w:t>c</w:t>
      </w:r>
      <w:r w:rsidR="003E429E" w:rsidRPr="00EE20F3">
        <w:rPr>
          <w:rFonts w:ascii="Garamond" w:hAnsi="Garamond"/>
          <w:bCs/>
          <w:sz w:val="24"/>
          <w:szCs w:val="24"/>
          <w:lang w:val="en-US"/>
        </w:rPr>
        <w:t>onferences</w:t>
      </w:r>
      <w:r w:rsidR="00E85918">
        <w:rPr>
          <w:rFonts w:ascii="Garamond" w:hAnsi="Garamond"/>
          <w:bCs/>
          <w:sz w:val="24"/>
          <w:szCs w:val="24"/>
          <w:lang w:val="en-US"/>
        </w:rPr>
        <w:t xml:space="preserve"> </w:t>
      </w:r>
      <w:r>
        <w:rPr>
          <w:rFonts w:ascii="Garamond" w:hAnsi="Garamond"/>
          <w:bCs/>
          <w:sz w:val="24"/>
          <w:szCs w:val="24"/>
          <w:lang w:val="en-US"/>
        </w:rPr>
        <w:t xml:space="preserve">(in </w:t>
      </w:r>
      <w:r w:rsidR="0077444B" w:rsidRPr="00EE20F3">
        <w:rPr>
          <w:rFonts w:ascii="Garamond" w:hAnsi="Garamond"/>
          <w:bCs/>
          <w:sz w:val="24"/>
          <w:szCs w:val="24"/>
          <w:lang w:val="en-US"/>
        </w:rPr>
        <w:t>more than 45 districts</w:t>
      </w:r>
      <w:r>
        <w:rPr>
          <w:rFonts w:ascii="Garamond" w:hAnsi="Garamond"/>
          <w:bCs/>
          <w:sz w:val="24"/>
          <w:szCs w:val="24"/>
          <w:lang w:val="en-US"/>
        </w:rPr>
        <w:t>),</w:t>
      </w:r>
      <w:r w:rsidRPr="00270C41">
        <w:rPr>
          <w:rFonts w:ascii="Garamond" w:hAnsi="Garamond"/>
          <w:bCs/>
          <w:sz w:val="24"/>
          <w:szCs w:val="24"/>
          <w:lang w:val="en-US"/>
        </w:rPr>
        <w:t xml:space="preserve"> </w:t>
      </w:r>
      <w:r>
        <w:rPr>
          <w:rFonts w:ascii="Garamond" w:hAnsi="Garamond"/>
          <w:bCs/>
          <w:sz w:val="24"/>
          <w:szCs w:val="24"/>
          <w:lang w:val="en-US"/>
        </w:rPr>
        <w:t>consultative workshops for</w:t>
      </w:r>
      <w:r w:rsidRPr="0077444B">
        <w:rPr>
          <w:rFonts w:ascii="Garamond" w:hAnsi="Garamond"/>
          <w:bCs/>
          <w:sz w:val="24"/>
          <w:szCs w:val="24"/>
          <w:lang w:val="en-US"/>
        </w:rPr>
        <w:t xml:space="preserve"> journalists</w:t>
      </w:r>
      <w:r>
        <w:rPr>
          <w:rFonts w:ascii="Garamond" w:hAnsi="Garamond"/>
          <w:bCs/>
          <w:sz w:val="24"/>
          <w:szCs w:val="24"/>
          <w:lang w:val="en-US"/>
        </w:rPr>
        <w:t>,</w:t>
      </w:r>
      <w:r w:rsidRPr="00270C41">
        <w:rPr>
          <w:rFonts w:ascii="Garamond" w:hAnsi="Garamond"/>
          <w:bCs/>
          <w:sz w:val="24"/>
          <w:szCs w:val="24"/>
          <w:lang w:val="en-US"/>
        </w:rPr>
        <w:t xml:space="preserve"> </w:t>
      </w:r>
      <w:r>
        <w:rPr>
          <w:rFonts w:ascii="Garamond" w:hAnsi="Garamond"/>
          <w:bCs/>
          <w:sz w:val="24"/>
          <w:szCs w:val="24"/>
          <w:lang w:val="en-US"/>
        </w:rPr>
        <w:t>street theatre, p</w:t>
      </w:r>
      <w:r w:rsidRPr="0077444B">
        <w:rPr>
          <w:rFonts w:ascii="Garamond" w:hAnsi="Garamond"/>
          <w:bCs/>
          <w:sz w:val="24"/>
          <w:szCs w:val="24"/>
          <w:lang w:val="en-US"/>
        </w:rPr>
        <w:t>uppet shows</w:t>
      </w:r>
      <w:r w:rsidR="00C5564B">
        <w:rPr>
          <w:rFonts w:ascii="Garamond" w:hAnsi="Garamond"/>
          <w:bCs/>
          <w:sz w:val="24"/>
          <w:szCs w:val="24"/>
          <w:lang w:val="en-US"/>
        </w:rPr>
        <w:t>,</w:t>
      </w:r>
      <w:r w:rsidRPr="00270C41">
        <w:rPr>
          <w:rFonts w:ascii="Garamond" w:hAnsi="Garamond"/>
          <w:bCs/>
          <w:sz w:val="24"/>
          <w:szCs w:val="24"/>
          <w:lang w:val="en-US"/>
        </w:rPr>
        <w:t xml:space="preserve"> </w:t>
      </w:r>
      <w:r>
        <w:rPr>
          <w:rFonts w:ascii="Garamond" w:hAnsi="Garamond"/>
          <w:bCs/>
          <w:sz w:val="24"/>
          <w:szCs w:val="24"/>
          <w:lang w:val="en-US"/>
        </w:rPr>
        <w:t>peoples’ education assemblies and</w:t>
      </w:r>
      <w:r w:rsidRPr="00EE20F3">
        <w:rPr>
          <w:rFonts w:ascii="Garamond" w:hAnsi="Garamond"/>
          <w:bCs/>
          <w:sz w:val="24"/>
          <w:szCs w:val="24"/>
          <w:lang w:val="en-US"/>
        </w:rPr>
        <w:t xml:space="preserve"> </w:t>
      </w:r>
      <w:r>
        <w:rPr>
          <w:rFonts w:ascii="Garamond" w:hAnsi="Garamond"/>
          <w:bCs/>
          <w:sz w:val="24"/>
          <w:szCs w:val="24"/>
          <w:lang w:val="en-US"/>
        </w:rPr>
        <w:t>policy papers.</w:t>
      </w:r>
      <w:r w:rsidRPr="00270C41">
        <w:rPr>
          <w:rFonts w:ascii="Garamond" w:hAnsi="Garamond"/>
          <w:bCs/>
          <w:sz w:val="24"/>
          <w:szCs w:val="24"/>
          <w:lang w:val="en-US"/>
        </w:rPr>
        <w:t xml:space="preserve"> </w:t>
      </w:r>
      <w:r>
        <w:rPr>
          <w:rFonts w:ascii="Garamond" w:hAnsi="Garamond"/>
          <w:bCs/>
          <w:sz w:val="24"/>
          <w:szCs w:val="24"/>
          <w:lang w:val="en-US"/>
        </w:rPr>
        <w:t>They have three writ petitions</w:t>
      </w:r>
      <w:r w:rsidRPr="00EE20F3">
        <w:rPr>
          <w:rFonts w:ascii="Garamond" w:hAnsi="Garamond"/>
          <w:bCs/>
          <w:sz w:val="24"/>
          <w:szCs w:val="24"/>
          <w:lang w:val="en-US"/>
        </w:rPr>
        <w:t xml:space="preserve"> in </w:t>
      </w:r>
      <w:r>
        <w:rPr>
          <w:rFonts w:ascii="Garamond" w:hAnsi="Garamond"/>
          <w:bCs/>
          <w:sz w:val="24"/>
          <w:szCs w:val="24"/>
          <w:lang w:val="en-US"/>
        </w:rPr>
        <w:t xml:space="preserve">the </w:t>
      </w:r>
      <w:r w:rsidRPr="00EE20F3">
        <w:rPr>
          <w:rFonts w:ascii="Garamond" w:hAnsi="Garamond"/>
          <w:bCs/>
          <w:sz w:val="24"/>
          <w:szCs w:val="24"/>
          <w:lang w:val="en-US"/>
        </w:rPr>
        <w:t>High Courts of Lahore, Peshawar and Islamabad seeking promulgation and implementation of 25-A at a provincial level;</w:t>
      </w:r>
      <w:r>
        <w:rPr>
          <w:rFonts w:ascii="Garamond" w:hAnsi="Garamond"/>
          <w:bCs/>
          <w:sz w:val="24"/>
          <w:szCs w:val="24"/>
          <w:lang w:val="en-US"/>
        </w:rPr>
        <w:t xml:space="preserve"> and they have hosted a</w:t>
      </w:r>
      <w:r w:rsidR="003E429E">
        <w:rPr>
          <w:rFonts w:ascii="Garamond" w:hAnsi="Garamond"/>
          <w:bCs/>
          <w:sz w:val="24"/>
          <w:szCs w:val="24"/>
          <w:lang w:val="en-US"/>
        </w:rPr>
        <w:t xml:space="preserve"> </w:t>
      </w:r>
      <w:r>
        <w:rPr>
          <w:rFonts w:ascii="Garamond" w:hAnsi="Garamond"/>
          <w:bCs/>
          <w:sz w:val="24"/>
          <w:szCs w:val="24"/>
          <w:lang w:val="en-US"/>
        </w:rPr>
        <w:t>weekly radio show on AM 1152 that</w:t>
      </w:r>
      <w:r w:rsidR="0077444B" w:rsidRPr="0077444B">
        <w:rPr>
          <w:rFonts w:ascii="Garamond" w:hAnsi="Garamond"/>
          <w:bCs/>
          <w:sz w:val="24"/>
          <w:szCs w:val="24"/>
          <w:lang w:val="en-US"/>
        </w:rPr>
        <w:t xml:space="preserve"> receives more than 70 calls per program, though it is only ab</w:t>
      </w:r>
      <w:r w:rsidR="003E429E">
        <w:rPr>
          <w:rFonts w:ascii="Garamond" w:hAnsi="Garamond"/>
          <w:bCs/>
          <w:sz w:val="24"/>
          <w:szCs w:val="24"/>
          <w:lang w:val="en-US"/>
        </w:rPr>
        <w:t xml:space="preserve">le to </w:t>
      </w:r>
      <w:r>
        <w:rPr>
          <w:rFonts w:ascii="Garamond" w:hAnsi="Garamond"/>
          <w:bCs/>
          <w:sz w:val="24"/>
          <w:szCs w:val="24"/>
          <w:lang w:val="en-US"/>
        </w:rPr>
        <w:t>feature</w:t>
      </w:r>
      <w:r w:rsidR="003E429E">
        <w:rPr>
          <w:rFonts w:ascii="Garamond" w:hAnsi="Garamond"/>
          <w:bCs/>
          <w:sz w:val="24"/>
          <w:szCs w:val="24"/>
          <w:lang w:val="en-US"/>
        </w:rPr>
        <w:t xml:space="preserve"> 10-15 calls per show</w:t>
      </w:r>
      <w:r>
        <w:rPr>
          <w:rFonts w:ascii="Garamond" w:hAnsi="Garamond"/>
          <w:bCs/>
          <w:sz w:val="24"/>
          <w:szCs w:val="24"/>
          <w:lang w:val="en-US"/>
        </w:rPr>
        <w:t>.</w:t>
      </w:r>
      <w:r w:rsidR="00BE4B9E">
        <w:rPr>
          <w:rFonts w:ascii="Garamond" w:hAnsi="Garamond"/>
          <w:bCs/>
          <w:sz w:val="24"/>
          <w:szCs w:val="24"/>
          <w:lang w:val="en-US"/>
        </w:rPr>
        <w:t xml:space="preserve"> </w:t>
      </w:r>
      <w:r w:rsidR="00B83FAD">
        <w:rPr>
          <w:rFonts w:ascii="Garamond" w:hAnsi="Garamond"/>
          <w:bCs/>
          <w:sz w:val="24"/>
          <w:szCs w:val="24"/>
          <w:lang w:val="en-US"/>
        </w:rPr>
        <w:t>PCE has developed an impressive set of advocacy tools in its campaigns and unlike many other national coalition structures, its activities increasingly focus on social mobilization.</w:t>
      </w:r>
    </w:p>
    <w:p w14:paraId="5B996F8F" w14:textId="04EF9218" w:rsidR="009101E7" w:rsidRPr="00FC49B7" w:rsidRDefault="009101E7" w:rsidP="00501465">
      <w:pPr>
        <w:pStyle w:val="ListParagraph"/>
        <w:numPr>
          <w:ilvl w:val="0"/>
          <w:numId w:val="4"/>
        </w:numPr>
        <w:tabs>
          <w:tab w:val="left" w:pos="3936"/>
          <w:tab w:val="left" w:pos="5467"/>
        </w:tabs>
        <w:spacing w:before="240" w:line="276" w:lineRule="auto"/>
        <w:ind w:left="714" w:hanging="357"/>
        <w:rPr>
          <w:rFonts w:ascii="Garamond" w:hAnsi="Garamond"/>
          <w:b/>
          <w:bCs/>
          <w:i/>
          <w:sz w:val="24"/>
          <w:szCs w:val="24"/>
        </w:rPr>
      </w:pPr>
      <w:r w:rsidRPr="00FC49B7">
        <w:rPr>
          <w:rFonts w:ascii="Garamond" w:hAnsi="Garamond"/>
          <w:b/>
          <w:bCs/>
          <w:i/>
          <w:sz w:val="24"/>
          <w:szCs w:val="24"/>
        </w:rPr>
        <w:t>Social mob</w:t>
      </w:r>
      <w:r w:rsidR="00630F8F">
        <w:rPr>
          <w:rFonts w:ascii="Garamond" w:hAnsi="Garamond"/>
          <w:b/>
          <w:bCs/>
          <w:i/>
          <w:sz w:val="24"/>
          <w:szCs w:val="24"/>
        </w:rPr>
        <w:t>i</w:t>
      </w:r>
      <w:r w:rsidRPr="00FC49B7">
        <w:rPr>
          <w:rFonts w:ascii="Garamond" w:hAnsi="Garamond"/>
          <w:b/>
          <w:bCs/>
          <w:i/>
          <w:sz w:val="24"/>
          <w:szCs w:val="24"/>
        </w:rPr>
        <w:t>lisation</w:t>
      </w:r>
    </w:p>
    <w:p w14:paraId="05DE485A" w14:textId="0572223A" w:rsidR="00630F8F" w:rsidRPr="00B56D90" w:rsidRDefault="00630F8F" w:rsidP="001350A5">
      <w:pPr>
        <w:spacing w:before="0" w:line="276" w:lineRule="auto"/>
        <w:rPr>
          <w:rFonts w:ascii="Garamond" w:hAnsi="Garamond"/>
          <w:bCs/>
          <w:sz w:val="24"/>
          <w:szCs w:val="24"/>
        </w:rPr>
      </w:pPr>
      <w:r w:rsidRPr="00630F8F">
        <w:rPr>
          <w:rFonts w:ascii="Garamond" w:hAnsi="Garamond"/>
          <w:bCs/>
          <w:sz w:val="24"/>
          <w:szCs w:val="24"/>
        </w:rPr>
        <w:t>The</w:t>
      </w:r>
      <w:r>
        <w:rPr>
          <w:rFonts w:ascii="Garamond" w:hAnsi="Garamond"/>
          <w:bCs/>
          <w:sz w:val="24"/>
          <w:szCs w:val="24"/>
        </w:rPr>
        <w:t xml:space="preserve"> two organisations in this section focus </w:t>
      </w:r>
      <w:r w:rsidR="00C5564B">
        <w:rPr>
          <w:rFonts w:ascii="Garamond" w:hAnsi="Garamond"/>
          <w:bCs/>
          <w:sz w:val="24"/>
          <w:szCs w:val="24"/>
        </w:rPr>
        <w:t xml:space="preserve">their </w:t>
      </w:r>
      <w:r>
        <w:rPr>
          <w:rFonts w:ascii="Garamond" w:hAnsi="Garamond"/>
          <w:bCs/>
          <w:sz w:val="24"/>
          <w:szCs w:val="24"/>
        </w:rPr>
        <w:t xml:space="preserve">efforts on organising constituencies of students and parents rather than building broader </w:t>
      </w:r>
      <w:r w:rsidR="00C5564B">
        <w:rPr>
          <w:rFonts w:ascii="Garamond" w:hAnsi="Garamond"/>
          <w:bCs/>
          <w:sz w:val="24"/>
          <w:szCs w:val="24"/>
        </w:rPr>
        <w:t xml:space="preserve">advocacy </w:t>
      </w:r>
      <w:r>
        <w:rPr>
          <w:rFonts w:ascii="Garamond" w:hAnsi="Garamond"/>
          <w:bCs/>
          <w:sz w:val="24"/>
          <w:szCs w:val="24"/>
        </w:rPr>
        <w:t xml:space="preserve">coalitions. Both support collaboration with other organisations, but their </w:t>
      </w:r>
      <w:r w:rsidR="00B83FAD">
        <w:rPr>
          <w:rFonts w:ascii="Garamond" w:hAnsi="Garamond"/>
          <w:bCs/>
          <w:sz w:val="24"/>
          <w:szCs w:val="24"/>
        </w:rPr>
        <w:t>own campaigns</w:t>
      </w:r>
      <w:r>
        <w:rPr>
          <w:rFonts w:ascii="Garamond" w:hAnsi="Garamond"/>
          <w:bCs/>
          <w:sz w:val="24"/>
          <w:szCs w:val="24"/>
        </w:rPr>
        <w:t xml:space="preserve"> </w:t>
      </w:r>
      <w:r w:rsidR="00B83FAD">
        <w:rPr>
          <w:rFonts w:ascii="Garamond" w:hAnsi="Garamond"/>
          <w:bCs/>
          <w:sz w:val="24"/>
          <w:szCs w:val="24"/>
        </w:rPr>
        <w:t>have clear priority</w:t>
      </w:r>
      <w:r>
        <w:rPr>
          <w:rFonts w:ascii="Garamond" w:hAnsi="Garamond"/>
          <w:bCs/>
          <w:sz w:val="24"/>
          <w:szCs w:val="24"/>
        </w:rPr>
        <w:t>.</w:t>
      </w:r>
      <w:r w:rsidR="00B56D90">
        <w:rPr>
          <w:rFonts w:ascii="Garamond" w:hAnsi="Garamond"/>
          <w:bCs/>
          <w:sz w:val="24"/>
          <w:szCs w:val="24"/>
        </w:rPr>
        <w:t xml:space="preserve"> Equal Education was part of a portfolio review of our support on The Right to Education with the GEAB in April, 2014. The Integrated Education Fund was part of our portfolio review on</w:t>
      </w:r>
      <w:r w:rsidR="00B56D90" w:rsidRPr="00B56D90">
        <w:rPr>
          <w:rFonts w:ascii="Garamond" w:hAnsi="Garamond"/>
          <w:bCs/>
          <w:sz w:val="24"/>
          <w:szCs w:val="24"/>
        </w:rPr>
        <w:t xml:space="preserve"> Grassroots Organising and Social Mobiliz</w:t>
      </w:r>
      <w:r w:rsidR="00B56D90">
        <w:rPr>
          <w:rFonts w:ascii="Garamond" w:hAnsi="Garamond"/>
          <w:bCs/>
          <w:sz w:val="24"/>
          <w:szCs w:val="24"/>
        </w:rPr>
        <w:t xml:space="preserve">ation in March, 2014. Both organisations are part of the field under review and are very purposeful in the way they engage government to affect the formulation of public policy.  </w:t>
      </w:r>
      <w:r w:rsidR="001B7626" w:rsidRPr="00B56D90">
        <w:rPr>
          <w:rFonts w:ascii="Garamond" w:hAnsi="Garamond"/>
          <w:bCs/>
          <w:sz w:val="24"/>
          <w:szCs w:val="24"/>
        </w:rPr>
        <w:t xml:space="preserve">  </w:t>
      </w:r>
    </w:p>
    <w:p w14:paraId="2D6FB184" w14:textId="574201FD" w:rsidR="008C5720" w:rsidRDefault="009101E7" w:rsidP="00BE4B9E">
      <w:pPr>
        <w:spacing w:before="240" w:line="276" w:lineRule="auto"/>
        <w:rPr>
          <w:rFonts w:ascii="Garamond" w:hAnsi="Garamond"/>
          <w:bCs/>
          <w:sz w:val="24"/>
          <w:szCs w:val="24"/>
        </w:rPr>
      </w:pPr>
      <w:r w:rsidRPr="00B56D90">
        <w:rPr>
          <w:rFonts w:ascii="Garamond" w:hAnsi="Garamond"/>
          <w:bCs/>
          <w:sz w:val="24"/>
          <w:szCs w:val="24"/>
          <w:u w:val="single"/>
        </w:rPr>
        <w:t>South Africa: Equal Education (EE</w:t>
      </w:r>
      <w:r w:rsidRPr="00BE4B9E">
        <w:rPr>
          <w:rFonts w:ascii="Garamond" w:hAnsi="Garamond"/>
          <w:bCs/>
          <w:sz w:val="24"/>
          <w:szCs w:val="24"/>
        </w:rPr>
        <w:t>)</w:t>
      </w:r>
      <w:r w:rsidR="00BE4B9E" w:rsidRPr="00BE4B9E">
        <w:rPr>
          <w:rFonts w:ascii="Garamond" w:hAnsi="Garamond"/>
          <w:bCs/>
          <w:sz w:val="24"/>
          <w:szCs w:val="24"/>
        </w:rPr>
        <w:t xml:space="preserve">: </w:t>
      </w:r>
      <w:r w:rsidR="001B7626">
        <w:rPr>
          <w:rFonts w:ascii="Garamond" w:hAnsi="Garamond"/>
          <w:bCs/>
          <w:sz w:val="24"/>
          <w:szCs w:val="24"/>
        </w:rPr>
        <w:t>ESP has funded EE</w:t>
      </w:r>
      <w:r w:rsidRPr="00B05979">
        <w:rPr>
          <w:rFonts w:ascii="Garamond" w:hAnsi="Garamond"/>
          <w:bCs/>
          <w:sz w:val="24"/>
          <w:szCs w:val="24"/>
        </w:rPr>
        <w:t xml:space="preserve"> since 2010, two years after </w:t>
      </w:r>
      <w:r w:rsidR="007D6CF8">
        <w:rPr>
          <w:rFonts w:ascii="Garamond" w:hAnsi="Garamond"/>
          <w:bCs/>
          <w:sz w:val="24"/>
          <w:szCs w:val="24"/>
        </w:rPr>
        <w:t xml:space="preserve">the movement started. EE began as an afternoon reading project in </w:t>
      </w:r>
      <w:r w:rsidR="007D6CF8" w:rsidRPr="00B05979">
        <w:rPr>
          <w:rFonts w:ascii="Garamond" w:hAnsi="Garamond"/>
          <w:bCs/>
          <w:sz w:val="24"/>
          <w:szCs w:val="24"/>
        </w:rPr>
        <w:t xml:space="preserve">the </w:t>
      </w:r>
      <w:proofErr w:type="spellStart"/>
      <w:r w:rsidR="007D6CF8" w:rsidRPr="00B05979">
        <w:rPr>
          <w:rFonts w:ascii="Garamond" w:hAnsi="Garamond"/>
          <w:bCs/>
          <w:sz w:val="24"/>
          <w:szCs w:val="24"/>
        </w:rPr>
        <w:t>Khayelitsha</w:t>
      </w:r>
      <w:proofErr w:type="spellEnd"/>
      <w:r w:rsidR="007D6CF8" w:rsidRPr="00B05979">
        <w:rPr>
          <w:rFonts w:ascii="Garamond" w:hAnsi="Garamond"/>
          <w:bCs/>
          <w:sz w:val="24"/>
          <w:szCs w:val="24"/>
        </w:rPr>
        <w:t xml:space="preserve"> township of Cape Town</w:t>
      </w:r>
      <w:r w:rsidR="007D6CF8">
        <w:rPr>
          <w:rFonts w:ascii="Garamond" w:hAnsi="Garamond"/>
          <w:bCs/>
          <w:sz w:val="24"/>
          <w:szCs w:val="24"/>
        </w:rPr>
        <w:t xml:space="preserve"> that involved pupils from local schools and students from the University of Cape Town. Its first campaign was to fix broken wind</w:t>
      </w:r>
      <w:r w:rsidR="00C5564B">
        <w:rPr>
          <w:rFonts w:ascii="Garamond" w:hAnsi="Garamond"/>
          <w:bCs/>
          <w:sz w:val="24"/>
          <w:szCs w:val="24"/>
        </w:rPr>
        <w:t>ows in one of the local schools;</w:t>
      </w:r>
      <w:r w:rsidR="007D6CF8">
        <w:rPr>
          <w:rFonts w:ascii="Garamond" w:hAnsi="Garamond"/>
          <w:bCs/>
          <w:sz w:val="24"/>
          <w:szCs w:val="24"/>
        </w:rPr>
        <w:t xml:space="preserve"> it m</w:t>
      </w:r>
      <w:r w:rsidR="002C49DD">
        <w:rPr>
          <w:rFonts w:ascii="Garamond" w:hAnsi="Garamond"/>
          <w:bCs/>
          <w:sz w:val="24"/>
          <w:szCs w:val="24"/>
        </w:rPr>
        <w:t xml:space="preserve">oved on to </w:t>
      </w:r>
      <w:r w:rsidR="00A33651">
        <w:rPr>
          <w:rFonts w:ascii="Garamond" w:hAnsi="Garamond"/>
          <w:bCs/>
          <w:sz w:val="24"/>
          <w:szCs w:val="24"/>
        </w:rPr>
        <w:lastRenderedPageBreak/>
        <w:t xml:space="preserve">mend a leaking roof and then on to </w:t>
      </w:r>
      <w:r w:rsidR="002C49DD">
        <w:rPr>
          <w:rFonts w:ascii="Garamond" w:hAnsi="Garamond"/>
          <w:bCs/>
          <w:sz w:val="24"/>
          <w:szCs w:val="24"/>
        </w:rPr>
        <w:t xml:space="preserve">larger campaign </w:t>
      </w:r>
      <w:r w:rsidR="007D6CF8">
        <w:rPr>
          <w:rFonts w:ascii="Garamond" w:hAnsi="Garamond"/>
          <w:bCs/>
          <w:sz w:val="24"/>
          <w:szCs w:val="24"/>
        </w:rPr>
        <w:t>to end late-coming in schools across</w:t>
      </w:r>
      <w:r w:rsidR="002C49DD">
        <w:rPr>
          <w:rFonts w:ascii="Garamond" w:hAnsi="Garamond"/>
          <w:bCs/>
          <w:sz w:val="24"/>
          <w:szCs w:val="24"/>
        </w:rPr>
        <w:t xml:space="preserve"> the township. This</w:t>
      </w:r>
      <w:r w:rsidR="007D6CF8">
        <w:rPr>
          <w:rFonts w:ascii="Garamond" w:hAnsi="Garamond"/>
          <w:bCs/>
          <w:sz w:val="24"/>
          <w:szCs w:val="24"/>
        </w:rPr>
        <w:t xml:space="preserve"> built a lot of support among parents as well as, perhaps surprisingly, school pupils. I</w:t>
      </w:r>
      <w:r w:rsidR="001B7626">
        <w:rPr>
          <w:rFonts w:ascii="Garamond" w:hAnsi="Garamond"/>
          <w:bCs/>
          <w:sz w:val="24"/>
          <w:szCs w:val="24"/>
        </w:rPr>
        <w:t>t did lead to clashes with the local branch of the teachers union SADTU, which is a relationship</w:t>
      </w:r>
      <w:r w:rsidR="007D6CF8">
        <w:rPr>
          <w:rFonts w:ascii="Garamond" w:hAnsi="Garamond"/>
          <w:bCs/>
          <w:sz w:val="24"/>
          <w:szCs w:val="24"/>
        </w:rPr>
        <w:t xml:space="preserve"> </w:t>
      </w:r>
      <w:r w:rsidR="001B7626">
        <w:rPr>
          <w:rFonts w:ascii="Garamond" w:hAnsi="Garamond"/>
          <w:bCs/>
          <w:sz w:val="24"/>
          <w:szCs w:val="24"/>
        </w:rPr>
        <w:t xml:space="preserve">that EE still has to manage carefully. </w:t>
      </w:r>
      <w:r w:rsidR="008C5720" w:rsidRPr="008C5720">
        <w:rPr>
          <w:rFonts w:ascii="Garamond" w:hAnsi="Garamond"/>
          <w:bCs/>
          <w:sz w:val="24"/>
          <w:szCs w:val="24"/>
        </w:rPr>
        <w:t> </w:t>
      </w:r>
    </w:p>
    <w:p w14:paraId="3D6F51E4" w14:textId="4840D744" w:rsidR="00207A2C" w:rsidRDefault="008C5720" w:rsidP="009101E7">
      <w:pPr>
        <w:spacing w:line="276" w:lineRule="auto"/>
        <w:rPr>
          <w:rFonts w:ascii="Garamond" w:hAnsi="Garamond"/>
          <w:bCs/>
          <w:sz w:val="24"/>
          <w:szCs w:val="24"/>
        </w:rPr>
      </w:pPr>
      <w:r>
        <w:rPr>
          <w:rFonts w:ascii="Garamond" w:hAnsi="Garamond"/>
          <w:bCs/>
          <w:sz w:val="24"/>
          <w:szCs w:val="24"/>
        </w:rPr>
        <w:t xml:space="preserve">EE has grown into a strong movement of </w:t>
      </w:r>
      <w:r w:rsidRPr="008C5720">
        <w:rPr>
          <w:rFonts w:ascii="Garamond" w:hAnsi="Garamond"/>
          <w:bCs/>
          <w:sz w:val="24"/>
          <w:szCs w:val="24"/>
        </w:rPr>
        <w:t>learners, parents, teachers and community members</w:t>
      </w:r>
      <w:r w:rsidR="00F86134">
        <w:rPr>
          <w:rFonts w:ascii="Garamond" w:hAnsi="Garamond"/>
          <w:bCs/>
          <w:sz w:val="24"/>
          <w:szCs w:val="24"/>
        </w:rPr>
        <w:t>;</w:t>
      </w:r>
      <w:r>
        <w:rPr>
          <w:rFonts w:ascii="Garamond" w:hAnsi="Garamond"/>
          <w:bCs/>
          <w:sz w:val="24"/>
          <w:szCs w:val="24"/>
        </w:rPr>
        <w:t xml:space="preserve"> it has attracted wide and growing support nationally.</w:t>
      </w:r>
      <w:r w:rsidRPr="008C5720">
        <w:rPr>
          <w:rFonts w:ascii="Garamond" w:hAnsi="Garamond"/>
          <w:bCs/>
          <w:sz w:val="24"/>
          <w:szCs w:val="24"/>
        </w:rPr>
        <w:t> </w:t>
      </w:r>
      <w:r w:rsidR="001B7626">
        <w:rPr>
          <w:rFonts w:ascii="Garamond" w:hAnsi="Garamond"/>
          <w:bCs/>
          <w:sz w:val="24"/>
          <w:szCs w:val="24"/>
        </w:rPr>
        <w:t xml:space="preserve">The two campaigns that </w:t>
      </w:r>
      <w:r w:rsidR="006F41EA">
        <w:rPr>
          <w:rFonts w:ascii="Garamond" w:hAnsi="Garamond"/>
          <w:bCs/>
          <w:sz w:val="24"/>
          <w:szCs w:val="24"/>
        </w:rPr>
        <w:t xml:space="preserve">first </w:t>
      </w:r>
      <w:r w:rsidR="001B7626">
        <w:rPr>
          <w:rFonts w:ascii="Garamond" w:hAnsi="Garamond"/>
          <w:bCs/>
          <w:sz w:val="24"/>
          <w:szCs w:val="24"/>
        </w:rPr>
        <w:t>caught the national imagination were the national campaign for a school library and qualified librarian in each school and their successful campaign</w:t>
      </w:r>
      <w:r w:rsidR="001B7626" w:rsidRPr="00B05979">
        <w:rPr>
          <w:rFonts w:ascii="Garamond" w:hAnsi="Garamond"/>
          <w:bCs/>
          <w:sz w:val="24"/>
          <w:szCs w:val="24"/>
        </w:rPr>
        <w:t xml:space="preserve"> to get the Ministry</w:t>
      </w:r>
      <w:r w:rsidR="001B7626">
        <w:rPr>
          <w:rFonts w:ascii="Garamond" w:hAnsi="Garamond"/>
          <w:bCs/>
          <w:sz w:val="24"/>
          <w:szCs w:val="24"/>
        </w:rPr>
        <w:t xml:space="preserve"> of Basic Education to publish</w:t>
      </w:r>
      <w:r w:rsidR="001B7626" w:rsidRPr="00B05979">
        <w:rPr>
          <w:rFonts w:ascii="Garamond" w:hAnsi="Garamond"/>
          <w:bCs/>
          <w:sz w:val="24"/>
          <w:szCs w:val="24"/>
        </w:rPr>
        <w:t xml:space="preserve"> </w:t>
      </w:r>
      <w:r>
        <w:rPr>
          <w:rFonts w:ascii="Garamond" w:hAnsi="Garamond"/>
          <w:bCs/>
          <w:sz w:val="24"/>
          <w:szCs w:val="24"/>
        </w:rPr>
        <w:t xml:space="preserve">a set of </w:t>
      </w:r>
      <w:r w:rsidR="001B7626" w:rsidRPr="00B05979">
        <w:rPr>
          <w:rFonts w:ascii="Garamond" w:hAnsi="Garamond"/>
          <w:bCs/>
          <w:sz w:val="24"/>
          <w:szCs w:val="24"/>
        </w:rPr>
        <w:t>norms and stan</w:t>
      </w:r>
      <w:r>
        <w:rPr>
          <w:rFonts w:ascii="Garamond" w:hAnsi="Garamond"/>
          <w:bCs/>
          <w:sz w:val="24"/>
          <w:szCs w:val="24"/>
        </w:rPr>
        <w:t>dards for South African schools.</w:t>
      </w:r>
      <w:r w:rsidR="001B7626" w:rsidRPr="00B05979">
        <w:rPr>
          <w:rFonts w:ascii="Garamond" w:hAnsi="Garamond"/>
          <w:bCs/>
          <w:sz w:val="24"/>
          <w:szCs w:val="24"/>
        </w:rPr>
        <w:t xml:space="preserve"> </w:t>
      </w:r>
      <w:r w:rsidR="006F41EA">
        <w:rPr>
          <w:rFonts w:ascii="Garamond" w:hAnsi="Garamond"/>
          <w:bCs/>
          <w:sz w:val="24"/>
          <w:szCs w:val="24"/>
        </w:rPr>
        <w:t>It has follow</w:t>
      </w:r>
      <w:r w:rsidR="002C49DD">
        <w:rPr>
          <w:rFonts w:ascii="Garamond" w:hAnsi="Garamond"/>
          <w:bCs/>
          <w:sz w:val="24"/>
          <w:szCs w:val="24"/>
        </w:rPr>
        <w:t>ed</w:t>
      </w:r>
      <w:r w:rsidR="006F41EA">
        <w:rPr>
          <w:rFonts w:ascii="Garamond" w:hAnsi="Garamond"/>
          <w:bCs/>
          <w:sz w:val="24"/>
          <w:szCs w:val="24"/>
        </w:rPr>
        <w:t xml:space="preserve"> on with campaigns on schoo</w:t>
      </w:r>
      <w:r w:rsidR="00A33651">
        <w:rPr>
          <w:rFonts w:ascii="Garamond" w:hAnsi="Garamond"/>
          <w:bCs/>
          <w:sz w:val="24"/>
          <w:szCs w:val="24"/>
        </w:rPr>
        <w:t xml:space="preserve">l sanitation, textbooks, </w:t>
      </w:r>
      <w:r w:rsidR="006F41EA">
        <w:rPr>
          <w:rFonts w:ascii="Garamond" w:hAnsi="Garamond"/>
          <w:bCs/>
          <w:sz w:val="24"/>
          <w:szCs w:val="24"/>
        </w:rPr>
        <w:t>transport</w:t>
      </w:r>
      <w:r w:rsidR="00A33651">
        <w:rPr>
          <w:rFonts w:ascii="Garamond" w:hAnsi="Garamond"/>
          <w:bCs/>
          <w:sz w:val="24"/>
          <w:szCs w:val="24"/>
        </w:rPr>
        <w:t xml:space="preserve"> to school</w:t>
      </w:r>
      <w:r w:rsidR="006F41EA">
        <w:rPr>
          <w:rFonts w:ascii="Garamond" w:hAnsi="Garamond"/>
          <w:bCs/>
          <w:sz w:val="24"/>
          <w:szCs w:val="24"/>
        </w:rPr>
        <w:t xml:space="preserve"> and school infrastructure. These campaigns involve</w:t>
      </w:r>
      <w:r w:rsidR="00A33651">
        <w:rPr>
          <w:rFonts w:ascii="Garamond" w:hAnsi="Garamond"/>
          <w:bCs/>
          <w:sz w:val="24"/>
          <w:szCs w:val="24"/>
        </w:rPr>
        <w:t xml:space="preserve"> rallies, marches, petitions, sophisticated media strategies</w:t>
      </w:r>
      <w:r>
        <w:rPr>
          <w:rFonts w:ascii="Garamond" w:hAnsi="Garamond"/>
          <w:bCs/>
          <w:sz w:val="24"/>
          <w:szCs w:val="24"/>
        </w:rPr>
        <w:t xml:space="preserve"> an</w:t>
      </w:r>
      <w:r w:rsidR="00A33651">
        <w:rPr>
          <w:rFonts w:ascii="Garamond" w:hAnsi="Garamond"/>
          <w:bCs/>
          <w:sz w:val="24"/>
          <w:szCs w:val="24"/>
        </w:rPr>
        <w:t xml:space="preserve">d court action. EE is currently focusing </w:t>
      </w:r>
      <w:r>
        <w:rPr>
          <w:rFonts w:ascii="Garamond" w:hAnsi="Garamond"/>
          <w:bCs/>
          <w:sz w:val="24"/>
          <w:szCs w:val="24"/>
        </w:rPr>
        <w:t xml:space="preserve">on getting </w:t>
      </w:r>
      <w:r w:rsidR="006F41EA">
        <w:rPr>
          <w:rFonts w:ascii="Garamond" w:hAnsi="Garamond"/>
          <w:bCs/>
          <w:sz w:val="24"/>
          <w:szCs w:val="24"/>
        </w:rPr>
        <w:t>the norms and standards implemented now that they have been published.</w:t>
      </w:r>
    </w:p>
    <w:p w14:paraId="21CBB527" w14:textId="556F2DF8" w:rsidR="008C5720" w:rsidRDefault="00A33651" w:rsidP="009101E7">
      <w:pPr>
        <w:spacing w:line="276" w:lineRule="auto"/>
        <w:rPr>
          <w:rFonts w:ascii="Garamond" w:hAnsi="Garamond"/>
          <w:bCs/>
          <w:sz w:val="24"/>
          <w:szCs w:val="24"/>
        </w:rPr>
      </w:pPr>
      <w:r>
        <w:rPr>
          <w:rFonts w:ascii="Garamond" w:hAnsi="Garamond"/>
          <w:bCs/>
          <w:sz w:val="24"/>
          <w:szCs w:val="24"/>
        </w:rPr>
        <w:t xml:space="preserve">EE established the Equal Education Law Centre (EELC) in </w:t>
      </w:r>
      <w:r w:rsidRPr="00B05979">
        <w:rPr>
          <w:rFonts w:ascii="Garamond" w:hAnsi="Garamond"/>
          <w:bCs/>
          <w:sz w:val="24"/>
          <w:szCs w:val="24"/>
        </w:rPr>
        <w:t>2012</w:t>
      </w:r>
      <w:r>
        <w:rPr>
          <w:rFonts w:ascii="Garamond" w:hAnsi="Garamond"/>
          <w:bCs/>
          <w:sz w:val="24"/>
          <w:szCs w:val="24"/>
        </w:rPr>
        <w:t>, i</w:t>
      </w:r>
      <w:r w:rsidR="00207A2C">
        <w:rPr>
          <w:rFonts w:ascii="Garamond" w:hAnsi="Garamond"/>
          <w:bCs/>
          <w:sz w:val="24"/>
          <w:szCs w:val="24"/>
        </w:rPr>
        <w:t xml:space="preserve">n order to respond to the constant stream of requests </w:t>
      </w:r>
      <w:r w:rsidR="006F41EA">
        <w:rPr>
          <w:rFonts w:ascii="Garamond" w:hAnsi="Garamond"/>
          <w:bCs/>
          <w:sz w:val="24"/>
          <w:szCs w:val="24"/>
        </w:rPr>
        <w:t>they</w:t>
      </w:r>
      <w:r w:rsidR="00207A2C">
        <w:rPr>
          <w:rFonts w:ascii="Garamond" w:hAnsi="Garamond"/>
          <w:bCs/>
          <w:sz w:val="24"/>
          <w:szCs w:val="24"/>
        </w:rPr>
        <w:t xml:space="preserve"> started to receive </w:t>
      </w:r>
      <w:r w:rsidR="006F41EA">
        <w:rPr>
          <w:rFonts w:ascii="Garamond" w:hAnsi="Garamond"/>
          <w:bCs/>
          <w:sz w:val="24"/>
          <w:szCs w:val="24"/>
        </w:rPr>
        <w:t>as their national profile</w:t>
      </w:r>
      <w:r w:rsidR="00B56D90">
        <w:rPr>
          <w:rFonts w:ascii="Garamond" w:hAnsi="Garamond"/>
          <w:bCs/>
          <w:sz w:val="24"/>
          <w:szCs w:val="24"/>
        </w:rPr>
        <w:t xml:space="preserve"> increas</w:t>
      </w:r>
      <w:r w:rsidR="006F41EA">
        <w:rPr>
          <w:rFonts w:ascii="Garamond" w:hAnsi="Garamond"/>
          <w:bCs/>
          <w:sz w:val="24"/>
          <w:szCs w:val="24"/>
        </w:rPr>
        <w:t>ed</w:t>
      </w:r>
      <w:r>
        <w:rPr>
          <w:rFonts w:ascii="Garamond" w:hAnsi="Garamond"/>
          <w:bCs/>
          <w:sz w:val="24"/>
          <w:szCs w:val="24"/>
        </w:rPr>
        <w:t>. EELC is</w:t>
      </w:r>
      <w:r w:rsidR="00207A2C" w:rsidRPr="00B05979">
        <w:rPr>
          <w:rFonts w:ascii="Garamond" w:hAnsi="Garamond"/>
          <w:bCs/>
          <w:sz w:val="24"/>
          <w:szCs w:val="24"/>
        </w:rPr>
        <w:t xml:space="preserve"> a legal clinic </w:t>
      </w:r>
      <w:r w:rsidR="00207A2C">
        <w:rPr>
          <w:rFonts w:ascii="Garamond" w:hAnsi="Garamond"/>
          <w:bCs/>
          <w:sz w:val="24"/>
          <w:szCs w:val="24"/>
        </w:rPr>
        <w:t>and</w:t>
      </w:r>
      <w:r w:rsidR="00207A2C" w:rsidRPr="00B05979">
        <w:rPr>
          <w:rFonts w:ascii="Garamond" w:hAnsi="Garamond"/>
          <w:bCs/>
          <w:sz w:val="24"/>
          <w:szCs w:val="24"/>
        </w:rPr>
        <w:t xml:space="preserve"> public interest litigation </w:t>
      </w:r>
      <w:r w:rsidR="00207A2C">
        <w:rPr>
          <w:rFonts w:ascii="Garamond" w:hAnsi="Garamond"/>
          <w:bCs/>
          <w:sz w:val="24"/>
          <w:szCs w:val="24"/>
        </w:rPr>
        <w:t>organisation</w:t>
      </w:r>
      <w:r>
        <w:rPr>
          <w:rFonts w:ascii="Garamond" w:hAnsi="Garamond"/>
          <w:bCs/>
          <w:sz w:val="24"/>
          <w:szCs w:val="24"/>
        </w:rPr>
        <w:t xml:space="preserve"> that is</w:t>
      </w:r>
      <w:r w:rsidR="00207A2C">
        <w:rPr>
          <w:rFonts w:ascii="Garamond" w:hAnsi="Garamond"/>
          <w:bCs/>
          <w:sz w:val="24"/>
          <w:szCs w:val="24"/>
        </w:rPr>
        <w:t xml:space="preserve"> focused on realising</w:t>
      </w:r>
      <w:r w:rsidR="00207A2C" w:rsidRPr="00B05979">
        <w:rPr>
          <w:rFonts w:ascii="Garamond" w:hAnsi="Garamond"/>
          <w:bCs/>
          <w:sz w:val="24"/>
          <w:szCs w:val="24"/>
        </w:rPr>
        <w:t xml:space="preserve"> the constitutional provision </w:t>
      </w:r>
      <w:r w:rsidR="00207A2C">
        <w:rPr>
          <w:rFonts w:ascii="Garamond" w:hAnsi="Garamond"/>
          <w:bCs/>
          <w:sz w:val="24"/>
          <w:szCs w:val="24"/>
        </w:rPr>
        <w:t>on</w:t>
      </w:r>
      <w:r w:rsidR="00207A2C" w:rsidRPr="00B05979">
        <w:rPr>
          <w:rFonts w:ascii="Garamond" w:hAnsi="Garamond"/>
          <w:bCs/>
          <w:sz w:val="24"/>
          <w:szCs w:val="24"/>
        </w:rPr>
        <w:t xml:space="preserve"> the right to education.</w:t>
      </w:r>
      <w:r w:rsidR="00207A2C">
        <w:rPr>
          <w:rFonts w:ascii="Garamond" w:hAnsi="Garamond"/>
          <w:bCs/>
          <w:sz w:val="24"/>
          <w:szCs w:val="24"/>
        </w:rPr>
        <w:t xml:space="preserve"> We do not fund EELC, but they work closely with EE, both organisations have successful transitioned to new leadership in the past year and continue to gain strength, recognition and momentum. </w:t>
      </w:r>
    </w:p>
    <w:p w14:paraId="1BF97001" w14:textId="4C09CFA9" w:rsidR="007D6CF8" w:rsidRDefault="006F41EA" w:rsidP="009101E7">
      <w:pPr>
        <w:spacing w:line="276" w:lineRule="auto"/>
        <w:rPr>
          <w:rFonts w:ascii="Garamond" w:hAnsi="Garamond"/>
          <w:bCs/>
          <w:sz w:val="24"/>
          <w:szCs w:val="24"/>
        </w:rPr>
      </w:pPr>
      <w:r>
        <w:rPr>
          <w:rFonts w:ascii="Garamond" w:hAnsi="Garamond"/>
          <w:bCs/>
          <w:sz w:val="24"/>
          <w:szCs w:val="24"/>
        </w:rPr>
        <w:t xml:space="preserve">Among its strengths we note that </w:t>
      </w:r>
      <w:r w:rsidR="00A33651">
        <w:rPr>
          <w:rFonts w:ascii="Garamond" w:hAnsi="Garamond"/>
          <w:bCs/>
          <w:sz w:val="24"/>
          <w:szCs w:val="24"/>
        </w:rPr>
        <w:t>EE has</w:t>
      </w:r>
      <w:r>
        <w:rPr>
          <w:rFonts w:ascii="Garamond" w:hAnsi="Garamond"/>
          <w:bCs/>
          <w:sz w:val="24"/>
          <w:szCs w:val="24"/>
        </w:rPr>
        <w:t xml:space="preserve"> maintain</w:t>
      </w:r>
      <w:r w:rsidR="00A33651">
        <w:rPr>
          <w:rFonts w:ascii="Garamond" w:hAnsi="Garamond"/>
          <w:bCs/>
          <w:sz w:val="24"/>
          <w:szCs w:val="24"/>
        </w:rPr>
        <w:t>ed its</w:t>
      </w:r>
      <w:r>
        <w:rPr>
          <w:rFonts w:ascii="Garamond" w:hAnsi="Garamond"/>
          <w:bCs/>
          <w:sz w:val="24"/>
          <w:szCs w:val="24"/>
        </w:rPr>
        <w:t xml:space="preserve"> focus and cohesion despite </w:t>
      </w:r>
      <w:r w:rsidR="00A33651">
        <w:rPr>
          <w:rFonts w:ascii="Garamond" w:hAnsi="Garamond"/>
          <w:bCs/>
          <w:sz w:val="24"/>
          <w:szCs w:val="24"/>
        </w:rPr>
        <w:t>becoming a</w:t>
      </w:r>
      <w:r>
        <w:rPr>
          <w:rFonts w:ascii="Garamond" w:hAnsi="Garamond"/>
          <w:bCs/>
          <w:sz w:val="24"/>
          <w:szCs w:val="24"/>
        </w:rPr>
        <w:t xml:space="preserve"> national movement. They have branches in every province now that identify new campaigns and take forward national ones. The organisation has strong internal accountability and </w:t>
      </w:r>
      <w:r w:rsidR="00164583">
        <w:rPr>
          <w:rFonts w:ascii="Garamond" w:hAnsi="Garamond"/>
          <w:bCs/>
          <w:sz w:val="24"/>
          <w:szCs w:val="24"/>
        </w:rPr>
        <w:t xml:space="preserve">its leadership has to stand for </w:t>
      </w:r>
      <w:r w:rsidR="00A33651">
        <w:rPr>
          <w:rFonts w:ascii="Garamond" w:hAnsi="Garamond"/>
          <w:bCs/>
          <w:sz w:val="24"/>
          <w:szCs w:val="24"/>
        </w:rPr>
        <w:t>re-election at a congress EE</w:t>
      </w:r>
      <w:r w:rsidR="00164583">
        <w:rPr>
          <w:rFonts w:ascii="Garamond" w:hAnsi="Garamond"/>
          <w:bCs/>
          <w:sz w:val="24"/>
          <w:szCs w:val="24"/>
        </w:rPr>
        <w:t xml:space="preserve"> holds every three years. It is </w:t>
      </w:r>
      <w:r w:rsidR="00A33651">
        <w:rPr>
          <w:rFonts w:ascii="Garamond" w:hAnsi="Garamond"/>
          <w:bCs/>
          <w:sz w:val="24"/>
          <w:szCs w:val="24"/>
        </w:rPr>
        <w:t>a clear sign of strength that the organisation</w:t>
      </w:r>
      <w:r w:rsidR="00164583">
        <w:rPr>
          <w:rFonts w:ascii="Garamond" w:hAnsi="Garamond"/>
          <w:bCs/>
          <w:sz w:val="24"/>
          <w:szCs w:val="24"/>
        </w:rPr>
        <w:t xml:space="preserve"> has been able to</w:t>
      </w:r>
      <w:r w:rsidR="00207A2C">
        <w:rPr>
          <w:rFonts w:ascii="Garamond" w:hAnsi="Garamond"/>
          <w:bCs/>
          <w:sz w:val="24"/>
          <w:szCs w:val="24"/>
        </w:rPr>
        <w:t xml:space="preserve"> develop </w:t>
      </w:r>
      <w:r w:rsidR="00164583">
        <w:rPr>
          <w:rFonts w:ascii="Garamond" w:hAnsi="Garamond"/>
          <w:bCs/>
          <w:sz w:val="24"/>
          <w:szCs w:val="24"/>
        </w:rPr>
        <w:t>a stream of</w:t>
      </w:r>
      <w:r w:rsidR="00944425">
        <w:rPr>
          <w:rFonts w:ascii="Garamond" w:hAnsi="Garamond"/>
          <w:bCs/>
          <w:sz w:val="24"/>
          <w:szCs w:val="24"/>
        </w:rPr>
        <w:t xml:space="preserve"> competent leaders;</w:t>
      </w:r>
      <w:r w:rsidR="00164583">
        <w:rPr>
          <w:rFonts w:ascii="Garamond" w:hAnsi="Garamond"/>
          <w:bCs/>
          <w:sz w:val="24"/>
          <w:szCs w:val="24"/>
        </w:rPr>
        <w:t xml:space="preserve"> the two founders of the movement</w:t>
      </w:r>
      <w:r w:rsidR="00944425">
        <w:rPr>
          <w:rFonts w:ascii="Garamond" w:hAnsi="Garamond"/>
          <w:bCs/>
          <w:sz w:val="24"/>
          <w:szCs w:val="24"/>
        </w:rPr>
        <w:t>,</w:t>
      </w:r>
      <w:r w:rsidR="00164583">
        <w:rPr>
          <w:rFonts w:ascii="Garamond" w:hAnsi="Garamond"/>
          <w:bCs/>
          <w:sz w:val="24"/>
          <w:szCs w:val="24"/>
        </w:rPr>
        <w:t xml:space="preserve"> Doron Isaacs and Yoliswa Dwane</w:t>
      </w:r>
      <w:r w:rsidR="00944425">
        <w:rPr>
          <w:rFonts w:ascii="Garamond" w:hAnsi="Garamond"/>
          <w:bCs/>
          <w:sz w:val="24"/>
          <w:szCs w:val="24"/>
        </w:rPr>
        <w:t>,</w:t>
      </w:r>
      <w:r w:rsidR="00164583">
        <w:rPr>
          <w:rFonts w:ascii="Garamond" w:hAnsi="Garamond"/>
          <w:bCs/>
          <w:sz w:val="24"/>
          <w:szCs w:val="24"/>
        </w:rPr>
        <w:t xml:space="preserve"> are still significantly engaged, but they </w:t>
      </w:r>
      <w:r w:rsidR="00A33651">
        <w:rPr>
          <w:rFonts w:ascii="Garamond" w:hAnsi="Garamond"/>
          <w:bCs/>
          <w:sz w:val="24"/>
          <w:szCs w:val="24"/>
        </w:rPr>
        <w:t>no</w:t>
      </w:r>
      <w:r w:rsidR="00164583">
        <w:rPr>
          <w:rFonts w:ascii="Garamond" w:hAnsi="Garamond"/>
          <w:bCs/>
          <w:sz w:val="24"/>
          <w:szCs w:val="24"/>
        </w:rPr>
        <w:t xml:space="preserve"> </w:t>
      </w:r>
      <w:r w:rsidR="00A33651">
        <w:rPr>
          <w:rFonts w:ascii="Garamond" w:hAnsi="Garamond"/>
          <w:bCs/>
          <w:sz w:val="24"/>
          <w:szCs w:val="24"/>
        </w:rPr>
        <w:t>longer</w:t>
      </w:r>
      <w:r w:rsidR="00164583">
        <w:rPr>
          <w:rFonts w:ascii="Garamond" w:hAnsi="Garamond"/>
          <w:bCs/>
          <w:sz w:val="24"/>
          <w:szCs w:val="24"/>
        </w:rPr>
        <w:t xml:space="preserve"> occupy frontline positions. EE has managed to build a broad social base, but its key strength </w:t>
      </w:r>
      <w:r w:rsidR="00A33651">
        <w:rPr>
          <w:rFonts w:ascii="Garamond" w:hAnsi="Garamond"/>
          <w:bCs/>
          <w:sz w:val="24"/>
          <w:szCs w:val="24"/>
        </w:rPr>
        <w:t>remains</w:t>
      </w:r>
      <w:r w:rsidR="00164583">
        <w:rPr>
          <w:rFonts w:ascii="Garamond" w:hAnsi="Garamond"/>
          <w:bCs/>
          <w:sz w:val="24"/>
          <w:szCs w:val="24"/>
        </w:rPr>
        <w:t xml:space="preserve"> </w:t>
      </w:r>
      <w:r w:rsidR="00A33651">
        <w:rPr>
          <w:rFonts w:ascii="Garamond" w:hAnsi="Garamond"/>
          <w:bCs/>
          <w:sz w:val="24"/>
          <w:szCs w:val="24"/>
        </w:rPr>
        <w:t>its school pupil members: the “equalisers”.</w:t>
      </w:r>
    </w:p>
    <w:p w14:paraId="0C053CD1" w14:textId="1990C6E3" w:rsidR="008C5720" w:rsidRDefault="00164583" w:rsidP="009101E7">
      <w:pPr>
        <w:spacing w:line="276" w:lineRule="auto"/>
        <w:rPr>
          <w:rFonts w:ascii="Garamond" w:hAnsi="Garamond"/>
          <w:bCs/>
          <w:sz w:val="24"/>
          <w:szCs w:val="24"/>
        </w:rPr>
      </w:pPr>
      <w:r>
        <w:rPr>
          <w:rFonts w:ascii="Garamond" w:hAnsi="Garamond"/>
          <w:bCs/>
          <w:sz w:val="24"/>
          <w:szCs w:val="24"/>
        </w:rPr>
        <w:t>Among our c</w:t>
      </w:r>
      <w:r w:rsidR="008C5720">
        <w:rPr>
          <w:rFonts w:ascii="Garamond" w:hAnsi="Garamond"/>
          <w:bCs/>
          <w:sz w:val="24"/>
          <w:szCs w:val="24"/>
        </w:rPr>
        <w:t>oncerns</w:t>
      </w:r>
      <w:r>
        <w:rPr>
          <w:rFonts w:ascii="Garamond" w:hAnsi="Garamond"/>
          <w:bCs/>
          <w:sz w:val="24"/>
          <w:szCs w:val="24"/>
        </w:rPr>
        <w:t xml:space="preserve"> is that the organisation is </w:t>
      </w:r>
      <w:r w:rsidR="00A33651">
        <w:rPr>
          <w:rFonts w:ascii="Garamond" w:hAnsi="Garamond"/>
          <w:bCs/>
          <w:sz w:val="24"/>
          <w:szCs w:val="24"/>
        </w:rPr>
        <w:t xml:space="preserve">hugely </w:t>
      </w:r>
      <w:r>
        <w:rPr>
          <w:rFonts w:ascii="Garamond" w:hAnsi="Garamond"/>
          <w:bCs/>
          <w:sz w:val="24"/>
          <w:szCs w:val="24"/>
        </w:rPr>
        <w:t>reliant on donors funds. The</w:t>
      </w:r>
      <w:r w:rsidR="00A33651">
        <w:rPr>
          <w:rFonts w:ascii="Garamond" w:hAnsi="Garamond"/>
          <w:bCs/>
          <w:sz w:val="24"/>
          <w:szCs w:val="24"/>
        </w:rPr>
        <w:t>y have</w:t>
      </w:r>
      <w:r>
        <w:rPr>
          <w:rFonts w:ascii="Garamond" w:hAnsi="Garamond"/>
          <w:bCs/>
          <w:sz w:val="24"/>
          <w:szCs w:val="24"/>
        </w:rPr>
        <w:t xml:space="preserve"> secure funding and have started building up a network of supporters who pay monthly subscriptions. Our emphasis will be to con</w:t>
      </w:r>
      <w:r w:rsidR="00A33651">
        <w:rPr>
          <w:rFonts w:ascii="Garamond" w:hAnsi="Garamond"/>
          <w:bCs/>
          <w:sz w:val="24"/>
          <w:szCs w:val="24"/>
        </w:rPr>
        <w:t>tinue to help them to build alternative income streams</w:t>
      </w:r>
      <w:r>
        <w:rPr>
          <w:rFonts w:ascii="Garamond" w:hAnsi="Garamond"/>
          <w:bCs/>
          <w:sz w:val="24"/>
          <w:szCs w:val="24"/>
        </w:rPr>
        <w:t xml:space="preserve">. There are </w:t>
      </w:r>
      <w:r w:rsidR="00A33651">
        <w:rPr>
          <w:rFonts w:ascii="Garamond" w:hAnsi="Garamond"/>
          <w:bCs/>
          <w:sz w:val="24"/>
          <w:szCs w:val="24"/>
        </w:rPr>
        <w:t>also</w:t>
      </w:r>
      <w:r>
        <w:rPr>
          <w:rFonts w:ascii="Garamond" w:hAnsi="Garamond"/>
          <w:bCs/>
          <w:sz w:val="24"/>
          <w:szCs w:val="24"/>
        </w:rPr>
        <w:t xml:space="preserve"> risks associated with a proce</w:t>
      </w:r>
      <w:r w:rsidR="00A33651">
        <w:rPr>
          <w:rFonts w:ascii="Garamond" w:hAnsi="Garamond"/>
          <w:bCs/>
          <w:sz w:val="24"/>
          <w:szCs w:val="24"/>
        </w:rPr>
        <w:t>ss that completely re-elects a le</w:t>
      </w:r>
      <w:r>
        <w:rPr>
          <w:rFonts w:ascii="Garamond" w:hAnsi="Garamond"/>
          <w:bCs/>
          <w:sz w:val="24"/>
          <w:szCs w:val="24"/>
        </w:rPr>
        <w:t xml:space="preserve">adership every three years. Their </w:t>
      </w:r>
      <w:r w:rsidR="00F86134">
        <w:rPr>
          <w:rFonts w:ascii="Garamond" w:hAnsi="Garamond"/>
          <w:bCs/>
          <w:sz w:val="24"/>
          <w:szCs w:val="24"/>
        </w:rPr>
        <w:t>legitimacy depends on this</w:t>
      </w:r>
      <w:r w:rsidR="006B1343">
        <w:rPr>
          <w:rFonts w:ascii="Garamond" w:hAnsi="Garamond"/>
          <w:bCs/>
          <w:sz w:val="24"/>
          <w:szCs w:val="24"/>
        </w:rPr>
        <w:t>.</w:t>
      </w:r>
      <w:r w:rsidR="00F86134">
        <w:rPr>
          <w:rFonts w:ascii="Garamond" w:hAnsi="Garamond"/>
          <w:bCs/>
          <w:sz w:val="24"/>
          <w:szCs w:val="24"/>
        </w:rPr>
        <w:t xml:space="preserve"> ESP and OSF-SA will continue maintain a close relationship with EE so that we understand its internal dynamics as the organisation grows. </w:t>
      </w:r>
    </w:p>
    <w:p w14:paraId="00F7E35E" w14:textId="68732070" w:rsidR="00763D47" w:rsidRDefault="009101E7" w:rsidP="00BE4B9E">
      <w:pPr>
        <w:spacing w:before="240" w:line="276" w:lineRule="auto"/>
        <w:rPr>
          <w:rFonts w:ascii="Garamond" w:hAnsi="Garamond"/>
          <w:bCs/>
          <w:sz w:val="24"/>
          <w:szCs w:val="24"/>
        </w:rPr>
      </w:pPr>
      <w:r w:rsidRPr="00501465">
        <w:rPr>
          <w:rFonts w:ascii="Garamond" w:hAnsi="Garamond"/>
          <w:bCs/>
          <w:sz w:val="24"/>
          <w:szCs w:val="24"/>
          <w:u w:val="single"/>
        </w:rPr>
        <w:t>Northern Ireland: Integrated Education Fund</w:t>
      </w:r>
      <w:r w:rsidR="00F86134">
        <w:rPr>
          <w:rFonts w:ascii="Garamond" w:hAnsi="Garamond"/>
          <w:bCs/>
          <w:sz w:val="24"/>
          <w:szCs w:val="24"/>
          <w:u w:val="single"/>
        </w:rPr>
        <w:t xml:space="preserve"> (IEF</w:t>
      </w:r>
      <w:r w:rsidR="00F86134" w:rsidRPr="00BE4B9E">
        <w:rPr>
          <w:rFonts w:ascii="Garamond" w:hAnsi="Garamond"/>
          <w:bCs/>
          <w:sz w:val="24"/>
          <w:szCs w:val="24"/>
        </w:rPr>
        <w:t>)</w:t>
      </w:r>
      <w:r w:rsidR="00BE4B9E" w:rsidRPr="00BE4B9E">
        <w:rPr>
          <w:rFonts w:ascii="Garamond" w:hAnsi="Garamond"/>
          <w:bCs/>
          <w:sz w:val="24"/>
          <w:szCs w:val="24"/>
        </w:rPr>
        <w:t xml:space="preserve">: </w:t>
      </w:r>
      <w:r w:rsidR="00F86134">
        <w:rPr>
          <w:rFonts w:ascii="Garamond" w:hAnsi="Garamond"/>
          <w:bCs/>
          <w:sz w:val="24"/>
          <w:szCs w:val="24"/>
        </w:rPr>
        <w:t>IEF</w:t>
      </w:r>
      <w:r w:rsidRPr="00A34B9A">
        <w:rPr>
          <w:rFonts w:ascii="Garamond" w:hAnsi="Garamond"/>
          <w:bCs/>
          <w:sz w:val="24"/>
          <w:szCs w:val="24"/>
        </w:rPr>
        <w:t xml:space="preserve"> is </w:t>
      </w:r>
      <w:r w:rsidR="00F86134">
        <w:rPr>
          <w:rFonts w:ascii="Garamond" w:hAnsi="Garamond"/>
          <w:bCs/>
          <w:sz w:val="24"/>
          <w:szCs w:val="24"/>
        </w:rPr>
        <w:t>a</w:t>
      </w:r>
      <w:r w:rsidRPr="00A34B9A">
        <w:rPr>
          <w:rFonts w:ascii="Garamond" w:hAnsi="Garamond"/>
          <w:bCs/>
          <w:sz w:val="24"/>
          <w:szCs w:val="24"/>
        </w:rPr>
        <w:t xml:space="preserve"> community-based</w:t>
      </w:r>
      <w:r w:rsidR="00F86134">
        <w:rPr>
          <w:rFonts w:ascii="Garamond" w:hAnsi="Garamond"/>
          <w:bCs/>
          <w:sz w:val="24"/>
          <w:szCs w:val="24"/>
        </w:rPr>
        <w:t>, largely parent organisation,</w:t>
      </w:r>
      <w:r w:rsidR="00F86134" w:rsidRPr="00F86134">
        <w:rPr>
          <w:rFonts w:ascii="Garamond" w:hAnsi="Garamond"/>
          <w:bCs/>
          <w:sz w:val="24"/>
          <w:szCs w:val="24"/>
        </w:rPr>
        <w:t xml:space="preserve"> </w:t>
      </w:r>
      <w:r w:rsidR="00F86134" w:rsidRPr="00A34B9A">
        <w:rPr>
          <w:rFonts w:ascii="Garamond" w:hAnsi="Garamond"/>
          <w:bCs/>
          <w:sz w:val="24"/>
          <w:szCs w:val="24"/>
        </w:rPr>
        <w:t>that is over 20 years old</w:t>
      </w:r>
      <w:r w:rsidR="00F86134">
        <w:rPr>
          <w:rFonts w:ascii="Garamond" w:hAnsi="Garamond"/>
          <w:bCs/>
          <w:sz w:val="24"/>
          <w:szCs w:val="24"/>
        </w:rPr>
        <w:t xml:space="preserve"> and structured as a community foundation</w:t>
      </w:r>
      <w:r w:rsidRPr="00A34B9A">
        <w:rPr>
          <w:rFonts w:ascii="Garamond" w:hAnsi="Garamond"/>
          <w:bCs/>
          <w:sz w:val="24"/>
          <w:szCs w:val="24"/>
        </w:rPr>
        <w:t xml:space="preserve">. </w:t>
      </w:r>
      <w:r w:rsidR="00F86134">
        <w:rPr>
          <w:rFonts w:ascii="Garamond" w:hAnsi="Garamond"/>
          <w:bCs/>
          <w:sz w:val="24"/>
          <w:szCs w:val="24"/>
        </w:rPr>
        <w:t xml:space="preserve">It reflects the wishes of </w:t>
      </w:r>
      <w:r w:rsidRPr="00A34B9A">
        <w:rPr>
          <w:rFonts w:ascii="Garamond" w:hAnsi="Garamond"/>
          <w:bCs/>
          <w:sz w:val="24"/>
          <w:szCs w:val="24"/>
        </w:rPr>
        <w:t xml:space="preserve">parents who want </w:t>
      </w:r>
      <w:r w:rsidR="002C49DD">
        <w:rPr>
          <w:rFonts w:ascii="Garamond" w:hAnsi="Garamond"/>
          <w:bCs/>
          <w:sz w:val="24"/>
          <w:szCs w:val="24"/>
        </w:rPr>
        <w:t xml:space="preserve">a </w:t>
      </w:r>
      <w:r w:rsidRPr="00A34B9A">
        <w:rPr>
          <w:rFonts w:ascii="Garamond" w:hAnsi="Garamond"/>
          <w:bCs/>
          <w:sz w:val="24"/>
          <w:szCs w:val="24"/>
        </w:rPr>
        <w:t>non-sectarian education for thei</w:t>
      </w:r>
      <w:r w:rsidR="002C49DD">
        <w:rPr>
          <w:rFonts w:ascii="Garamond" w:hAnsi="Garamond"/>
          <w:bCs/>
          <w:sz w:val="24"/>
          <w:szCs w:val="24"/>
        </w:rPr>
        <w:t>r children, involving</w:t>
      </w:r>
      <w:r w:rsidRPr="00A34B9A">
        <w:rPr>
          <w:rFonts w:ascii="Garamond" w:hAnsi="Garamond"/>
          <w:bCs/>
          <w:sz w:val="24"/>
          <w:szCs w:val="24"/>
        </w:rPr>
        <w:t xml:space="preserve"> them </w:t>
      </w:r>
      <w:r w:rsidR="00F86134">
        <w:rPr>
          <w:rFonts w:ascii="Garamond" w:hAnsi="Garamond"/>
          <w:bCs/>
          <w:sz w:val="24"/>
          <w:szCs w:val="24"/>
        </w:rPr>
        <w:t>actively</w:t>
      </w:r>
      <w:r w:rsidRPr="00A34B9A">
        <w:rPr>
          <w:rFonts w:ascii="Garamond" w:hAnsi="Garamond"/>
          <w:bCs/>
          <w:sz w:val="24"/>
          <w:szCs w:val="24"/>
        </w:rPr>
        <w:t xml:space="preserve"> in set</w:t>
      </w:r>
      <w:r w:rsidR="00F86134">
        <w:rPr>
          <w:rFonts w:ascii="Garamond" w:hAnsi="Garamond"/>
          <w:bCs/>
          <w:sz w:val="24"/>
          <w:szCs w:val="24"/>
        </w:rPr>
        <w:t>ting</w:t>
      </w:r>
      <w:r w:rsidRPr="00A34B9A">
        <w:rPr>
          <w:rFonts w:ascii="Garamond" w:hAnsi="Garamond"/>
          <w:bCs/>
          <w:sz w:val="24"/>
          <w:szCs w:val="24"/>
        </w:rPr>
        <w:t xml:space="preserve"> up </w:t>
      </w:r>
      <w:r w:rsidR="00F86134">
        <w:rPr>
          <w:rFonts w:ascii="Garamond" w:hAnsi="Garamond"/>
          <w:bCs/>
          <w:sz w:val="24"/>
          <w:szCs w:val="24"/>
        </w:rPr>
        <w:t>new</w:t>
      </w:r>
      <w:r w:rsidRPr="00A34B9A">
        <w:rPr>
          <w:rFonts w:ascii="Garamond" w:hAnsi="Garamond"/>
          <w:bCs/>
          <w:sz w:val="24"/>
          <w:szCs w:val="24"/>
        </w:rPr>
        <w:t xml:space="preserve"> integrated schools</w:t>
      </w:r>
      <w:r w:rsidR="00F86134">
        <w:rPr>
          <w:rFonts w:ascii="Garamond" w:hAnsi="Garamond"/>
          <w:bCs/>
          <w:sz w:val="24"/>
          <w:szCs w:val="24"/>
        </w:rPr>
        <w:t xml:space="preserve"> and campaigning for the Northern Ireland Assembly to </w:t>
      </w:r>
      <w:r w:rsidR="002C49DD">
        <w:rPr>
          <w:rFonts w:ascii="Garamond" w:hAnsi="Garamond"/>
          <w:bCs/>
          <w:sz w:val="24"/>
          <w:szCs w:val="24"/>
        </w:rPr>
        <w:t>adopt</w:t>
      </w:r>
      <w:r w:rsidR="00F86134">
        <w:rPr>
          <w:rFonts w:ascii="Garamond" w:hAnsi="Garamond"/>
          <w:bCs/>
          <w:sz w:val="24"/>
          <w:szCs w:val="24"/>
        </w:rPr>
        <w:t xml:space="preserve"> </w:t>
      </w:r>
      <w:r w:rsidR="002C49DD">
        <w:rPr>
          <w:rFonts w:ascii="Garamond" w:hAnsi="Garamond"/>
          <w:bCs/>
          <w:sz w:val="24"/>
          <w:szCs w:val="24"/>
        </w:rPr>
        <w:t xml:space="preserve">a more enabling </w:t>
      </w:r>
      <w:r w:rsidR="00F86134">
        <w:rPr>
          <w:rFonts w:ascii="Garamond" w:hAnsi="Garamond"/>
          <w:bCs/>
          <w:sz w:val="24"/>
          <w:szCs w:val="24"/>
        </w:rPr>
        <w:t xml:space="preserve">policy </w:t>
      </w:r>
      <w:r w:rsidR="002C49DD">
        <w:rPr>
          <w:rFonts w:ascii="Garamond" w:hAnsi="Garamond"/>
          <w:bCs/>
          <w:sz w:val="24"/>
          <w:szCs w:val="24"/>
        </w:rPr>
        <w:t>on</w:t>
      </w:r>
      <w:r w:rsidR="00F86134">
        <w:rPr>
          <w:rFonts w:ascii="Garamond" w:hAnsi="Garamond"/>
          <w:bCs/>
          <w:sz w:val="24"/>
          <w:szCs w:val="24"/>
        </w:rPr>
        <w:t xml:space="preserve"> integrated schools</w:t>
      </w:r>
      <w:r w:rsidRPr="00A34B9A">
        <w:rPr>
          <w:rFonts w:ascii="Garamond" w:hAnsi="Garamond"/>
          <w:bCs/>
          <w:sz w:val="24"/>
          <w:szCs w:val="24"/>
        </w:rPr>
        <w:t xml:space="preserve">. </w:t>
      </w:r>
      <w:r w:rsidR="000B0992">
        <w:rPr>
          <w:rFonts w:ascii="Garamond" w:hAnsi="Garamond"/>
          <w:bCs/>
          <w:sz w:val="24"/>
          <w:szCs w:val="24"/>
        </w:rPr>
        <w:t xml:space="preserve">Currently, salaries, </w:t>
      </w:r>
      <w:r w:rsidR="000B0992" w:rsidRPr="00A34B9A">
        <w:rPr>
          <w:rFonts w:ascii="Garamond" w:hAnsi="Garamond"/>
          <w:bCs/>
          <w:sz w:val="24"/>
          <w:szCs w:val="24"/>
        </w:rPr>
        <w:t>refurbishing and building costs have to be found by the community</w:t>
      </w:r>
      <w:r w:rsidR="00944425">
        <w:rPr>
          <w:rFonts w:ascii="Garamond" w:hAnsi="Garamond"/>
          <w:bCs/>
          <w:sz w:val="24"/>
          <w:szCs w:val="24"/>
        </w:rPr>
        <w:t>, as</w:t>
      </w:r>
      <w:r w:rsidR="000B0992" w:rsidRPr="00A34B9A">
        <w:rPr>
          <w:rFonts w:ascii="Garamond" w:hAnsi="Garamond"/>
          <w:bCs/>
          <w:sz w:val="24"/>
          <w:szCs w:val="24"/>
        </w:rPr>
        <w:t xml:space="preserve"> the</w:t>
      </w:r>
      <w:r w:rsidR="000B0992">
        <w:rPr>
          <w:rFonts w:ascii="Garamond" w:hAnsi="Garamond"/>
          <w:bCs/>
          <w:sz w:val="24"/>
          <w:szCs w:val="24"/>
        </w:rPr>
        <w:t xml:space="preserve"> government provides no support</w:t>
      </w:r>
      <w:r w:rsidR="000B0992" w:rsidRPr="00A34B9A">
        <w:rPr>
          <w:rFonts w:ascii="Garamond" w:hAnsi="Garamond"/>
          <w:bCs/>
          <w:sz w:val="24"/>
          <w:szCs w:val="24"/>
        </w:rPr>
        <w:t xml:space="preserve"> for the first two operational years of a new school.</w:t>
      </w:r>
    </w:p>
    <w:p w14:paraId="00C85CDF" w14:textId="6C1EBEE1" w:rsidR="00BB6306" w:rsidRPr="00BB6306" w:rsidRDefault="00763D47" w:rsidP="00BB6306">
      <w:pPr>
        <w:spacing w:line="276" w:lineRule="auto"/>
        <w:rPr>
          <w:rFonts w:ascii="Garamond" w:hAnsi="Garamond"/>
          <w:bCs/>
          <w:sz w:val="24"/>
          <w:szCs w:val="24"/>
          <w:lang w:val="en-US"/>
        </w:rPr>
      </w:pPr>
      <w:r>
        <w:rPr>
          <w:rFonts w:ascii="Garamond" w:hAnsi="Garamond"/>
          <w:bCs/>
          <w:sz w:val="24"/>
          <w:szCs w:val="24"/>
        </w:rPr>
        <w:t>Since our last portfolio of IEF early in 2014, the organisation and its partners have won a High Court judgment, in May 2014</w:t>
      </w:r>
      <w:r w:rsidRPr="00763D47">
        <w:rPr>
          <w:rFonts w:ascii="Garamond" w:hAnsi="Garamond"/>
          <w:bCs/>
          <w:sz w:val="24"/>
          <w:szCs w:val="24"/>
        </w:rPr>
        <w:t xml:space="preserve">, </w:t>
      </w:r>
      <w:r>
        <w:rPr>
          <w:rFonts w:ascii="Garamond" w:hAnsi="Garamond"/>
          <w:bCs/>
          <w:sz w:val="24"/>
          <w:szCs w:val="24"/>
        </w:rPr>
        <w:t xml:space="preserve">which </w:t>
      </w:r>
      <w:r w:rsidRPr="00763D47">
        <w:rPr>
          <w:rFonts w:ascii="Garamond" w:hAnsi="Garamond"/>
          <w:bCs/>
          <w:sz w:val="24"/>
          <w:szCs w:val="24"/>
        </w:rPr>
        <w:t>has far-reaching implications for education in Northern Ireland</w:t>
      </w:r>
      <w:r>
        <w:rPr>
          <w:rFonts w:ascii="Garamond" w:hAnsi="Garamond"/>
          <w:bCs/>
          <w:sz w:val="24"/>
          <w:szCs w:val="24"/>
        </w:rPr>
        <w:t>. A standing section</w:t>
      </w:r>
      <w:r w:rsidRPr="00763D47">
        <w:rPr>
          <w:rFonts w:ascii="Garamond" w:hAnsi="Garamond"/>
          <w:bCs/>
          <w:sz w:val="24"/>
          <w:szCs w:val="24"/>
        </w:rPr>
        <w:t xml:space="preserve"> </w:t>
      </w:r>
      <w:r w:rsidR="00BB6306">
        <w:rPr>
          <w:rFonts w:ascii="Garamond" w:hAnsi="Garamond"/>
          <w:bCs/>
          <w:sz w:val="24"/>
          <w:szCs w:val="24"/>
        </w:rPr>
        <w:t>o</w:t>
      </w:r>
      <w:r w:rsidRPr="00763D47">
        <w:rPr>
          <w:rFonts w:ascii="Garamond" w:hAnsi="Garamond"/>
          <w:bCs/>
          <w:sz w:val="24"/>
          <w:szCs w:val="24"/>
        </w:rPr>
        <w:t>f the 1989</w:t>
      </w:r>
      <w:r w:rsidR="00BB6306">
        <w:rPr>
          <w:rFonts w:ascii="Garamond" w:hAnsi="Garamond"/>
          <w:bCs/>
          <w:sz w:val="24"/>
          <w:szCs w:val="24"/>
        </w:rPr>
        <w:t xml:space="preserve"> Education Order imposed</w:t>
      </w:r>
      <w:r w:rsidRPr="00763D47">
        <w:rPr>
          <w:rFonts w:ascii="Garamond" w:hAnsi="Garamond"/>
          <w:bCs/>
          <w:sz w:val="24"/>
          <w:szCs w:val="24"/>
        </w:rPr>
        <w:t xml:space="preserve"> a statutory duty on the </w:t>
      </w:r>
      <w:r w:rsidRPr="00763D47">
        <w:rPr>
          <w:rFonts w:ascii="Garamond" w:hAnsi="Garamond"/>
          <w:bCs/>
          <w:sz w:val="24"/>
          <w:szCs w:val="24"/>
        </w:rPr>
        <w:lastRenderedPageBreak/>
        <w:t>Department of Education in Northern Ireland to “encourage and facilitate the development of integrated education”</w:t>
      </w:r>
      <w:r w:rsidR="00BB6306">
        <w:rPr>
          <w:rFonts w:ascii="Garamond" w:hAnsi="Garamond"/>
          <w:bCs/>
          <w:sz w:val="24"/>
          <w:szCs w:val="24"/>
        </w:rPr>
        <w:t>,</w:t>
      </w:r>
      <w:r w:rsidRPr="00763D47">
        <w:rPr>
          <w:rFonts w:ascii="Garamond" w:hAnsi="Garamond"/>
          <w:bCs/>
          <w:sz w:val="24"/>
          <w:szCs w:val="24"/>
        </w:rPr>
        <w:t xml:space="preserve"> </w:t>
      </w:r>
      <w:r w:rsidR="00BB6306">
        <w:rPr>
          <w:rFonts w:ascii="Garamond" w:hAnsi="Garamond"/>
          <w:bCs/>
          <w:sz w:val="24"/>
          <w:szCs w:val="24"/>
        </w:rPr>
        <w:t>which</w:t>
      </w:r>
      <w:r w:rsidRPr="00763D47">
        <w:rPr>
          <w:rFonts w:ascii="Garamond" w:hAnsi="Garamond"/>
          <w:bCs/>
          <w:sz w:val="24"/>
          <w:szCs w:val="24"/>
        </w:rPr>
        <w:t xml:space="preserve"> under</w:t>
      </w:r>
      <w:r w:rsidR="00BB6306">
        <w:rPr>
          <w:rFonts w:ascii="Garamond" w:hAnsi="Garamond"/>
          <w:bCs/>
          <w:sz w:val="24"/>
          <w:szCs w:val="24"/>
        </w:rPr>
        <w:t>lined in the Good Friday</w:t>
      </w:r>
      <w:r w:rsidRPr="00763D47">
        <w:rPr>
          <w:rFonts w:ascii="Garamond" w:hAnsi="Garamond"/>
          <w:bCs/>
          <w:sz w:val="24"/>
          <w:szCs w:val="24"/>
        </w:rPr>
        <w:t xml:space="preserve"> Agreement.</w:t>
      </w:r>
      <w:r w:rsidR="00BB6306">
        <w:rPr>
          <w:rFonts w:ascii="Garamond" w:hAnsi="Garamond"/>
          <w:bCs/>
          <w:sz w:val="24"/>
          <w:szCs w:val="24"/>
        </w:rPr>
        <w:t xml:space="preserve"> </w:t>
      </w:r>
      <w:r w:rsidRPr="00763D47">
        <w:rPr>
          <w:rFonts w:ascii="Garamond" w:hAnsi="Garamond"/>
          <w:bCs/>
          <w:sz w:val="24"/>
          <w:szCs w:val="24"/>
        </w:rPr>
        <w:t xml:space="preserve">A judicial review was brought by </w:t>
      </w:r>
      <w:r w:rsidR="00BB6306">
        <w:rPr>
          <w:rFonts w:ascii="Garamond" w:hAnsi="Garamond"/>
          <w:bCs/>
          <w:sz w:val="24"/>
          <w:szCs w:val="24"/>
        </w:rPr>
        <w:t xml:space="preserve">a school in </w:t>
      </w:r>
      <w:proofErr w:type="spellStart"/>
      <w:r w:rsidRPr="00763D47">
        <w:rPr>
          <w:rFonts w:ascii="Garamond" w:hAnsi="Garamond"/>
          <w:bCs/>
          <w:sz w:val="24"/>
          <w:szCs w:val="24"/>
        </w:rPr>
        <w:t>Drumragh</w:t>
      </w:r>
      <w:proofErr w:type="spellEnd"/>
      <w:r w:rsidR="00BB6306">
        <w:rPr>
          <w:rFonts w:ascii="Garamond" w:hAnsi="Garamond"/>
          <w:bCs/>
          <w:sz w:val="24"/>
          <w:szCs w:val="24"/>
        </w:rPr>
        <w:t>,</w:t>
      </w:r>
      <w:r w:rsidRPr="00763D47">
        <w:rPr>
          <w:rFonts w:ascii="Garamond" w:hAnsi="Garamond"/>
          <w:bCs/>
          <w:sz w:val="24"/>
          <w:szCs w:val="24"/>
        </w:rPr>
        <w:t xml:space="preserve"> supported </w:t>
      </w:r>
      <w:r w:rsidR="00BB6306">
        <w:rPr>
          <w:rFonts w:ascii="Garamond" w:hAnsi="Garamond"/>
          <w:bCs/>
          <w:sz w:val="24"/>
          <w:szCs w:val="24"/>
        </w:rPr>
        <w:t xml:space="preserve">by the IEF and </w:t>
      </w:r>
      <w:r w:rsidRPr="00763D47">
        <w:rPr>
          <w:rFonts w:ascii="Garamond" w:hAnsi="Garamond"/>
          <w:bCs/>
          <w:sz w:val="24"/>
          <w:szCs w:val="24"/>
        </w:rPr>
        <w:t>Public Int</w:t>
      </w:r>
      <w:r w:rsidR="00BB6306">
        <w:rPr>
          <w:rFonts w:ascii="Garamond" w:hAnsi="Garamond"/>
          <w:bCs/>
          <w:sz w:val="24"/>
          <w:szCs w:val="24"/>
        </w:rPr>
        <w:t>erest Litigation Support (PILS), ordered the government to comply by increasing</w:t>
      </w:r>
      <w:r w:rsidR="00BB6306" w:rsidRPr="00763D47">
        <w:rPr>
          <w:rFonts w:ascii="Garamond" w:hAnsi="Garamond"/>
          <w:bCs/>
          <w:sz w:val="24"/>
          <w:szCs w:val="24"/>
        </w:rPr>
        <w:t xml:space="preserve"> capacity</w:t>
      </w:r>
      <w:r w:rsidR="00BB6306">
        <w:rPr>
          <w:rFonts w:ascii="Garamond" w:hAnsi="Garamond"/>
          <w:bCs/>
          <w:sz w:val="24"/>
          <w:szCs w:val="24"/>
        </w:rPr>
        <w:t xml:space="preserve"> in the school</w:t>
      </w:r>
      <w:r w:rsidR="00BB6306" w:rsidRPr="00763D47">
        <w:rPr>
          <w:rFonts w:ascii="Garamond" w:hAnsi="Garamond"/>
          <w:bCs/>
          <w:sz w:val="24"/>
          <w:szCs w:val="24"/>
        </w:rPr>
        <w:t xml:space="preserve"> to meet local </w:t>
      </w:r>
      <w:r w:rsidR="000B0992">
        <w:rPr>
          <w:rFonts w:ascii="Garamond" w:hAnsi="Garamond"/>
          <w:bCs/>
          <w:sz w:val="24"/>
          <w:szCs w:val="24"/>
        </w:rPr>
        <w:t>demand. This is a significant step forward for integrated education in Norther Ireland.</w:t>
      </w:r>
    </w:p>
    <w:p w14:paraId="45D577D8" w14:textId="293C2B46" w:rsidR="00BB6306" w:rsidRPr="00763D47" w:rsidRDefault="005D5D2C" w:rsidP="000B0992">
      <w:pPr>
        <w:spacing w:line="276" w:lineRule="auto"/>
        <w:rPr>
          <w:rFonts w:ascii="Garamond" w:hAnsi="Garamond"/>
          <w:bCs/>
          <w:sz w:val="24"/>
          <w:szCs w:val="24"/>
        </w:rPr>
      </w:pPr>
      <w:r>
        <w:rPr>
          <w:rFonts w:ascii="Garamond" w:hAnsi="Garamond"/>
          <w:bCs/>
          <w:sz w:val="24"/>
          <w:szCs w:val="24"/>
        </w:rPr>
        <w:t>IEF</w:t>
      </w:r>
      <w:r w:rsidRPr="000B0992">
        <w:rPr>
          <w:rFonts w:ascii="Garamond" w:hAnsi="Garamond"/>
          <w:bCs/>
          <w:sz w:val="24"/>
          <w:szCs w:val="24"/>
        </w:rPr>
        <w:t xml:space="preserve"> </w:t>
      </w:r>
      <w:r w:rsidR="00BB6306" w:rsidRPr="000B0992">
        <w:rPr>
          <w:rFonts w:ascii="Garamond" w:hAnsi="Garamond"/>
          <w:bCs/>
          <w:sz w:val="24"/>
          <w:szCs w:val="24"/>
        </w:rPr>
        <w:t xml:space="preserve">schools are always willing to accept “newcomers”; they did so after the attacks on the Roma community in Belfast in 2012, and we supported their efforts to take in Polish immigrants after a spate of violence against them in 2014. We have also established a working partnership between IEF and Nansen Dialogue Centre in </w:t>
      </w:r>
      <w:proofErr w:type="spellStart"/>
      <w:r w:rsidR="00BB6306" w:rsidRPr="000B0992">
        <w:rPr>
          <w:rFonts w:ascii="Garamond" w:hAnsi="Garamond"/>
          <w:bCs/>
          <w:sz w:val="24"/>
          <w:szCs w:val="24"/>
        </w:rPr>
        <w:t>Vukovar</w:t>
      </w:r>
      <w:proofErr w:type="spellEnd"/>
      <w:r w:rsidR="00BB6306" w:rsidRPr="000B0992">
        <w:rPr>
          <w:rFonts w:ascii="Garamond" w:hAnsi="Garamond"/>
          <w:bCs/>
          <w:sz w:val="24"/>
          <w:szCs w:val="24"/>
        </w:rPr>
        <w:t>, Croatia</w:t>
      </w:r>
      <w:r w:rsidR="000B0992">
        <w:rPr>
          <w:rFonts w:ascii="Garamond" w:hAnsi="Garamond"/>
          <w:bCs/>
          <w:sz w:val="24"/>
          <w:szCs w:val="24"/>
        </w:rPr>
        <w:t>,</w:t>
      </w:r>
      <w:r w:rsidR="00BB6306" w:rsidRPr="000B0992">
        <w:rPr>
          <w:rFonts w:ascii="Garamond" w:hAnsi="Garamond"/>
          <w:bCs/>
          <w:sz w:val="24"/>
          <w:szCs w:val="24"/>
        </w:rPr>
        <w:t xml:space="preserve"> where our partners are trying to build local support to establish an integrated </w:t>
      </w:r>
      <w:r w:rsidR="00FD18F2">
        <w:rPr>
          <w:rFonts w:ascii="Garamond" w:hAnsi="Garamond"/>
          <w:bCs/>
          <w:sz w:val="24"/>
          <w:szCs w:val="24"/>
        </w:rPr>
        <w:t>C</w:t>
      </w:r>
      <w:r w:rsidR="00BB6306" w:rsidRPr="000B0992">
        <w:rPr>
          <w:rFonts w:ascii="Garamond" w:hAnsi="Garamond"/>
          <w:bCs/>
          <w:sz w:val="24"/>
          <w:szCs w:val="24"/>
        </w:rPr>
        <w:t>atholic-</w:t>
      </w:r>
      <w:r w:rsidR="00FD18F2">
        <w:rPr>
          <w:rFonts w:ascii="Garamond" w:hAnsi="Garamond"/>
          <w:bCs/>
          <w:sz w:val="24"/>
          <w:szCs w:val="24"/>
        </w:rPr>
        <w:t>O</w:t>
      </w:r>
      <w:r w:rsidR="00BB6306" w:rsidRPr="000B0992">
        <w:rPr>
          <w:rFonts w:ascii="Garamond" w:hAnsi="Garamond"/>
          <w:bCs/>
          <w:sz w:val="24"/>
          <w:szCs w:val="24"/>
        </w:rPr>
        <w:t xml:space="preserve">rthodox school. </w:t>
      </w:r>
    </w:p>
    <w:p w14:paraId="2165EE59" w14:textId="038CE05D" w:rsidR="009F5E6D" w:rsidRPr="00FC49B7" w:rsidRDefault="009F5E6D" w:rsidP="00647965">
      <w:pPr>
        <w:pStyle w:val="ListParagraph"/>
        <w:numPr>
          <w:ilvl w:val="0"/>
          <w:numId w:val="4"/>
        </w:numPr>
        <w:tabs>
          <w:tab w:val="left" w:pos="3936"/>
          <w:tab w:val="left" w:pos="5467"/>
        </w:tabs>
        <w:spacing w:before="240" w:line="276" w:lineRule="auto"/>
        <w:ind w:left="714" w:hanging="357"/>
        <w:rPr>
          <w:rFonts w:ascii="Garamond" w:hAnsi="Garamond"/>
          <w:b/>
          <w:bCs/>
          <w:i/>
          <w:sz w:val="24"/>
          <w:szCs w:val="24"/>
        </w:rPr>
      </w:pPr>
      <w:r w:rsidRPr="00FC49B7">
        <w:rPr>
          <w:rFonts w:ascii="Garamond" w:hAnsi="Garamond"/>
          <w:b/>
          <w:bCs/>
          <w:i/>
          <w:sz w:val="24"/>
          <w:szCs w:val="24"/>
        </w:rPr>
        <w:t>Issue-led advocacy</w:t>
      </w:r>
    </w:p>
    <w:p w14:paraId="263979A4" w14:textId="416761CD" w:rsidR="005D5D2C" w:rsidRDefault="005D5D2C" w:rsidP="006B1343">
      <w:pPr>
        <w:spacing w:before="0" w:line="276" w:lineRule="auto"/>
        <w:rPr>
          <w:rFonts w:ascii="Garamond" w:hAnsi="Garamond"/>
          <w:bCs/>
          <w:sz w:val="24"/>
          <w:szCs w:val="24"/>
        </w:rPr>
      </w:pPr>
      <w:r>
        <w:rPr>
          <w:rFonts w:ascii="Garamond" w:hAnsi="Garamond"/>
          <w:bCs/>
          <w:sz w:val="24"/>
          <w:szCs w:val="24"/>
        </w:rPr>
        <w:t>The grants in this portion of the portfolio relate primarily to the issue of marketization in education.  Our broad approach was to develop a body of evidence to document the impact of growing marketization in the education sector and support the efforts of our partners who gathered this evidence advocate for change through engagement with UN Treaty Bodies.  Our approach to this work has been modified based on discussions during our most recent strategy development process and we explore some of these shifts in the later sections of this document.</w:t>
      </w:r>
    </w:p>
    <w:p w14:paraId="769EF6AA" w14:textId="39355FB6" w:rsidR="00AD0E9F" w:rsidRPr="00AD0E9F" w:rsidRDefault="00AD0E9F" w:rsidP="006B1343">
      <w:pPr>
        <w:spacing w:before="0" w:line="276" w:lineRule="auto"/>
        <w:rPr>
          <w:rFonts w:ascii="Garamond" w:hAnsi="Garamond"/>
          <w:bCs/>
          <w:sz w:val="24"/>
          <w:szCs w:val="24"/>
        </w:rPr>
      </w:pPr>
      <w:r>
        <w:rPr>
          <w:rFonts w:ascii="Garamond" w:hAnsi="Garamond"/>
          <w:bCs/>
          <w:sz w:val="24"/>
          <w:szCs w:val="24"/>
        </w:rPr>
        <w:t>In</w:t>
      </w:r>
      <w:r w:rsidR="000B0992">
        <w:rPr>
          <w:rFonts w:ascii="Garamond" w:hAnsi="Garamond"/>
          <w:bCs/>
          <w:sz w:val="24"/>
          <w:szCs w:val="24"/>
        </w:rPr>
        <w:t xml:space="preserve"> 2014 and 2015, ESP has worked with three African organisations to develop their advocacy strategies around privatisation and the right to education</w:t>
      </w:r>
      <w:r>
        <w:rPr>
          <w:rFonts w:ascii="Garamond" w:hAnsi="Garamond"/>
          <w:bCs/>
          <w:sz w:val="24"/>
          <w:szCs w:val="24"/>
        </w:rPr>
        <w:t xml:space="preserve">, these </w:t>
      </w:r>
      <w:r w:rsidRPr="00AD0E9F">
        <w:rPr>
          <w:rFonts w:ascii="Garamond" w:hAnsi="Garamond"/>
          <w:bCs/>
          <w:sz w:val="24"/>
          <w:szCs w:val="24"/>
        </w:rPr>
        <w:t>are: the Initiative for Social and Economic Rights (ISER) in Uganda; the Economic &amp; Social Rights Centre/</w:t>
      </w:r>
      <w:proofErr w:type="spellStart"/>
      <w:r w:rsidRPr="00AD0E9F">
        <w:rPr>
          <w:rFonts w:ascii="Garamond" w:hAnsi="Garamond"/>
          <w:bCs/>
          <w:sz w:val="24"/>
          <w:szCs w:val="24"/>
        </w:rPr>
        <w:t>Hakijamii</w:t>
      </w:r>
      <w:proofErr w:type="spellEnd"/>
      <w:r w:rsidRPr="00AD0E9F">
        <w:rPr>
          <w:rFonts w:ascii="Garamond" w:hAnsi="Garamond"/>
          <w:bCs/>
          <w:sz w:val="24"/>
          <w:szCs w:val="24"/>
        </w:rPr>
        <w:t>, in Kenya; and the</w:t>
      </w:r>
      <w:r w:rsidR="000B0992" w:rsidRPr="00AD0E9F">
        <w:rPr>
          <w:rFonts w:ascii="Garamond" w:hAnsi="Garamond"/>
          <w:bCs/>
          <w:sz w:val="24"/>
          <w:szCs w:val="24"/>
        </w:rPr>
        <w:t xml:space="preserve"> </w:t>
      </w:r>
      <w:r w:rsidRPr="00AD0E9F">
        <w:rPr>
          <w:rFonts w:ascii="Garamond" w:hAnsi="Garamond"/>
          <w:bCs/>
          <w:sz w:val="24"/>
          <w:szCs w:val="24"/>
        </w:rPr>
        <w:t>Ghana National Education Campaign Coalition (GNECC)</w:t>
      </w:r>
      <w:r>
        <w:rPr>
          <w:rFonts w:ascii="Garamond" w:hAnsi="Garamond"/>
          <w:bCs/>
          <w:sz w:val="24"/>
          <w:szCs w:val="24"/>
        </w:rPr>
        <w:t>, an ANCEFA affiliate</w:t>
      </w:r>
      <w:r w:rsidRPr="00AD0E9F">
        <w:rPr>
          <w:rFonts w:ascii="Garamond" w:hAnsi="Garamond"/>
          <w:bCs/>
          <w:sz w:val="24"/>
          <w:szCs w:val="24"/>
        </w:rPr>
        <w:t xml:space="preserve">. </w:t>
      </w:r>
    </w:p>
    <w:p w14:paraId="6C32401B" w14:textId="6BB16526" w:rsidR="006C24DB" w:rsidRPr="006C24DB" w:rsidRDefault="00AB3844" w:rsidP="006B1343">
      <w:pPr>
        <w:spacing w:before="0" w:line="276" w:lineRule="auto"/>
        <w:rPr>
          <w:rFonts w:ascii="Garamond" w:hAnsi="Garamond"/>
          <w:bCs/>
          <w:sz w:val="24"/>
          <w:szCs w:val="24"/>
        </w:rPr>
      </w:pPr>
      <w:r w:rsidRPr="00BE4B9E">
        <w:rPr>
          <w:rFonts w:ascii="Garamond" w:hAnsi="Garamond"/>
          <w:bCs/>
          <w:sz w:val="24"/>
          <w:szCs w:val="24"/>
          <w:u w:val="single"/>
        </w:rPr>
        <w:t>ISER</w:t>
      </w:r>
      <w:r w:rsidR="006C24DB" w:rsidRPr="006C24DB">
        <w:rPr>
          <w:rFonts w:ascii="Garamond" w:hAnsi="Garamond"/>
          <w:bCs/>
          <w:sz w:val="24"/>
          <w:szCs w:val="24"/>
        </w:rPr>
        <w:t xml:space="preserve"> is </w:t>
      </w:r>
      <w:r>
        <w:rPr>
          <w:rFonts w:ascii="Garamond" w:hAnsi="Garamond"/>
          <w:bCs/>
          <w:sz w:val="24"/>
          <w:szCs w:val="24"/>
        </w:rPr>
        <w:t>a</w:t>
      </w:r>
      <w:r w:rsidR="006C24DB" w:rsidRPr="006C24DB">
        <w:rPr>
          <w:rFonts w:ascii="Garamond" w:hAnsi="Garamond"/>
          <w:bCs/>
          <w:sz w:val="24"/>
          <w:szCs w:val="24"/>
        </w:rPr>
        <w:t xml:space="preserve"> Ugandan </w:t>
      </w:r>
      <w:r>
        <w:rPr>
          <w:rFonts w:ascii="Garamond" w:hAnsi="Garamond"/>
          <w:bCs/>
          <w:sz w:val="24"/>
          <w:szCs w:val="24"/>
        </w:rPr>
        <w:t xml:space="preserve">human rights organisation that is a </w:t>
      </w:r>
      <w:r w:rsidR="006C24DB" w:rsidRPr="006C24DB">
        <w:rPr>
          <w:rFonts w:ascii="Garamond" w:hAnsi="Garamond"/>
          <w:bCs/>
          <w:sz w:val="24"/>
          <w:szCs w:val="24"/>
        </w:rPr>
        <w:t xml:space="preserve">partner </w:t>
      </w:r>
      <w:r>
        <w:rPr>
          <w:rFonts w:ascii="Garamond" w:hAnsi="Garamond"/>
          <w:bCs/>
          <w:sz w:val="24"/>
          <w:szCs w:val="24"/>
        </w:rPr>
        <w:t>in the research ESP supported through the Privatisation in Education Research Initiative, PERI</w:t>
      </w:r>
      <w:r w:rsidR="006C24DB" w:rsidRPr="006C24DB">
        <w:rPr>
          <w:rFonts w:ascii="Garamond" w:hAnsi="Garamond"/>
          <w:bCs/>
          <w:sz w:val="24"/>
          <w:szCs w:val="24"/>
        </w:rPr>
        <w:t xml:space="preserve">. </w:t>
      </w:r>
      <w:r>
        <w:rPr>
          <w:rFonts w:ascii="Garamond" w:hAnsi="Garamond"/>
          <w:bCs/>
          <w:sz w:val="24"/>
          <w:szCs w:val="24"/>
        </w:rPr>
        <w:t>T</w:t>
      </w:r>
      <w:r w:rsidRPr="006C24DB">
        <w:rPr>
          <w:rFonts w:ascii="Garamond" w:hAnsi="Garamond"/>
          <w:bCs/>
          <w:sz w:val="24"/>
          <w:szCs w:val="24"/>
        </w:rPr>
        <w:t xml:space="preserve">he </w:t>
      </w:r>
      <w:r w:rsidR="00A50A43">
        <w:rPr>
          <w:rFonts w:ascii="Garamond" w:hAnsi="Garamond"/>
          <w:bCs/>
          <w:sz w:val="24"/>
          <w:szCs w:val="24"/>
        </w:rPr>
        <w:t>Ugandan</w:t>
      </w:r>
      <w:r w:rsidRPr="006C24DB">
        <w:rPr>
          <w:rFonts w:ascii="Garamond" w:hAnsi="Garamond"/>
          <w:bCs/>
          <w:sz w:val="24"/>
          <w:szCs w:val="24"/>
        </w:rPr>
        <w:t xml:space="preserve"> government actively supported the establishment of private schools </w:t>
      </w:r>
      <w:r>
        <w:rPr>
          <w:rFonts w:ascii="Garamond" w:hAnsi="Garamond"/>
          <w:bCs/>
          <w:sz w:val="24"/>
          <w:szCs w:val="24"/>
        </w:rPr>
        <w:t xml:space="preserve">since </w:t>
      </w:r>
      <w:r w:rsidR="00A50A43">
        <w:rPr>
          <w:rFonts w:ascii="Garamond" w:hAnsi="Garamond"/>
          <w:bCs/>
          <w:sz w:val="24"/>
          <w:szCs w:val="24"/>
        </w:rPr>
        <w:t>the country</w:t>
      </w:r>
      <w:r w:rsidR="006C24DB" w:rsidRPr="006C24DB">
        <w:rPr>
          <w:rFonts w:ascii="Garamond" w:hAnsi="Garamond"/>
          <w:bCs/>
          <w:sz w:val="24"/>
          <w:szCs w:val="24"/>
        </w:rPr>
        <w:t xml:space="preserve"> liberalised its education sector in 1993 </w:t>
      </w:r>
      <w:r>
        <w:rPr>
          <w:rFonts w:ascii="Garamond" w:hAnsi="Garamond"/>
          <w:bCs/>
          <w:sz w:val="24"/>
          <w:szCs w:val="24"/>
        </w:rPr>
        <w:t>as part of its</w:t>
      </w:r>
      <w:r w:rsidR="006C24DB" w:rsidRPr="006C24DB">
        <w:rPr>
          <w:rFonts w:ascii="Garamond" w:hAnsi="Garamond"/>
          <w:bCs/>
          <w:sz w:val="24"/>
          <w:szCs w:val="24"/>
        </w:rPr>
        <w:t xml:space="preserve"> </w:t>
      </w:r>
      <w:r>
        <w:rPr>
          <w:rFonts w:ascii="Garamond" w:hAnsi="Garamond"/>
          <w:bCs/>
          <w:sz w:val="24"/>
          <w:szCs w:val="24"/>
        </w:rPr>
        <w:t xml:space="preserve">Structural Adjustment Programme. </w:t>
      </w:r>
      <w:r w:rsidR="006C24DB" w:rsidRPr="006C24DB">
        <w:rPr>
          <w:rFonts w:ascii="Garamond" w:hAnsi="Garamond"/>
          <w:bCs/>
          <w:sz w:val="24"/>
          <w:szCs w:val="24"/>
        </w:rPr>
        <w:t>The Ugandan privat</w:t>
      </w:r>
      <w:r w:rsidR="00A50A43">
        <w:rPr>
          <w:rFonts w:ascii="Garamond" w:hAnsi="Garamond"/>
          <w:bCs/>
          <w:sz w:val="24"/>
          <w:szCs w:val="24"/>
        </w:rPr>
        <w:t>e educational sector is very diverse and ISER was particularly concerned about</w:t>
      </w:r>
      <w:r w:rsidR="006C24DB" w:rsidRPr="006C24DB">
        <w:rPr>
          <w:rFonts w:ascii="Garamond" w:hAnsi="Garamond"/>
          <w:bCs/>
          <w:sz w:val="24"/>
          <w:szCs w:val="24"/>
        </w:rPr>
        <w:t xml:space="preserve"> </w:t>
      </w:r>
      <w:r w:rsidR="00A50A43">
        <w:rPr>
          <w:rFonts w:ascii="Garamond" w:hAnsi="Garamond"/>
          <w:bCs/>
          <w:sz w:val="24"/>
          <w:szCs w:val="24"/>
        </w:rPr>
        <w:t xml:space="preserve">the effects of </w:t>
      </w:r>
      <w:r w:rsidR="006B1343">
        <w:rPr>
          <w:rFonts w:ascii="Garamond" w:hAnsi="Garamond"/>
          <w:bCs/>
          <w:sz w:val="24"/>
          <w:szCs w:val="24"/>
        </w:rPr>
        <w:t>low-fee</w:t>
      </w:r>
      <w:r w:rsidR="006C24DB" w:rsidRPr="006C24DB">
        <w:rPr>
          <w:rFonts w:ascii="Garamond" w:hAnsi="Garamond"/>
          <w:bCs/>
          <w:sz w:val="24"/>
          <w:szCs w:val="24"/>
        </w:rPr>
        <w:t xml:space="preserve"> private schools</w:t>
      </w:r>
      <w:r w:rsidR="00A50A43">
        <w:rPr>
          <w:rFonts w:ascii="Garamond" w:hAnsi="Garamond"/>
          <w:bCs/>
          <w:sz w:val="24"/>
          <w:szCs w:val="24"/>
        </w:rPr>
        <w:t xml:space="preserve">. </w:t>
      </w:r>
      <w:r w:rsidR="006C24DB" w:rsidRPr="006C24DB">
        <w:rPr>
          <w:rFonts w:ascii="Garamond" w:hAnsi="Garamond"/>
          <w:bCs/>
          <w:sz w:val="24"/>
          <w:szCs w:val="24"/>
        </w:rPr>
        <w:t xml:space="preserve">ISER </w:t>
      </w:r>
      <w:r w:rsidR="00A50A43">
        <w:rPr>
          <w:rFonts w:ascii="Garamond" w:hAnsi="Garamond"/>
          <w:bCs/>
          <w:sz w:val="24"/>
          <w:szCs w:val="24"/>
        </w:rPr>
        <w:t>presented a</w:t>
      </w:r>
      <w:r w:rsidR="00FC5C3C">
        <w:rPr>
          <w:rFonts w:ascii="Garamond" w:hAnsi="Garamond"/>
          <w:bCs/>
          <w:sz w:val="24"/>
          <w:szCs w:val="24"/>
        </w:rPr>
        <w:t xml:space="preserve"> report to the C</w:t>
      </w:r>
      <w:r w:rsidR="00A50A43">
        <w:rPr>
          <w:rFonts w:ascii="Garamond" w:hAnsi="Garamond"/>
          <w:bCs/>
          <w:sz w:val="24"/>
          <w:szCs w:val="24"/>
        </w:rPr>
        <w:t>ESCR</w:t>
      </w:r>
      <w:r w:rsidR="00A50A43">
        <w:rPr>
          <w:rStyle w:val="FootnoteReference"/>
          <w:rFonts w:ascii="Garamond" w:hAnsi="Garamond"/>
          <w:bCs/>
          <w:sz w:val="24"/>
          <w:szCs w:val="24"/>
        </w:rPr>
        <w:footnoteReference w:id="2"/>
      </w:r>
      <w:r w:rsidR="00A50A43">
        <w:rPr>
          <w:rFonts w:ascii="Garamond" w:hAnsi="Garamond"/>
          <w:bCs/>
          <w:sz w:val="24"/>
          <w:szCs w:val="24"/>
        </w:rPr>
        <w:t>,</w:t>
      </w:r>
      <w:r w:rsidR="006C24DB" w:rsidRPr="006C24DB">
        <w:rPr>
          <w:rFonts w:ascii="Garamond" w:hAnsi="Garamond"/>
          <w:bCs/>
          <w:sz w:val="24"/>
          <w:szCs w:val="24"/>
        </w:rPr>
        <w:t xml:space="preserve"> which asked the Ugandan Government to explain the impact of privatization in education “on the right to education of girls a</w:t>
      </w:r>
      <w:r w:rsidR="00A50A43">
        <w:rPr>
          <w:rFonts w:ascii="Garamond" w:hAnsi="Garamond"/>
          <w:bCs/>
          <w:sz w:val="24"/>
          <w:szCs w:val="24"/>
        </w:rPr>
        <w:t>nd children living in poverty”</w:t>
      </w:r>
      <w:r w:rsidR="00A41BDF">
        <w:rPr>
          <w:rFonts w:ascii="Garamond" w:hAnsi="Garamond"/>
          <w:bCs/>
          <w:sz w:val="24"/>
          <w:szCs w:val="24"/>
        </w:rPr>
        <w:t xml:space="preserve"> </w:t>
      </w:r>
      <w:r w:rsidR="006C24DB" w:rsidRPr="006C24DB">
        <w:rPr>
          <w:rFonts w:ascii="Garamond" w:hAnsi="Garamond"/>
          <w:bCs/>
          <w:sz w:val="24"/>
          <w:szCs w:val="24"/>
        </w:rPr>
        <w:t xml:space="preserve">and recommended that Uganda “strengthen regulations and expand monitoring and oversight mechanisms for private education institutions”. </w:t>
      </w:r>
      <w:r w:rsidR="00A50A43">
        <w:rPr>
          <w:rFonts w:ascii="Garamond" w:hAnsi="Garamond"/>
          <w:bCs/>
          <w:sz w:val="24"/>
          <w:szCs w:val="24"/>
        </w:rPr>
        <w:t xml:space="preserve">This has </w:t>
      </w:r>
      <w:r w:rsidR="00A50A43" w:rsidRPr="006C24DB">
        <w:rPr>
          <w:rFonts w:ascii="Garamond" w:hAnsi="Garamond"/>
          <w:bCs/>
          <w:sz w:val="24"/>
          <w:szCs w:val="24"/>
        </w:rPr>
        <w:t>strengthened the position of ISER and its partners in Uganda</w:t>
      </w:r>
      <w:r w:rsidR="00FC5C3C">
        <w:rPr>
          <w:rFonts w:ascii="Garamond" w:hAnsi="Garamond"/>
          <w:bCs/>
          <w:sz w:val="24"/>
          <w:szCs w:val="24"/>
        </w:rPr>
        <w:t xml:space="preserve"> enabling them to</w:t>
      </w:r>
      <w:r w:rsidR="00A50A43" w:rsidRPr="006C24DB">
        <w:rPr>
          <w:rFonts w:ascii="Garamond" w:hAnsi="Garamond"/>
          <w:bCs/>
          <w:sz w:val="24"/>
          <w:szCs w:val="24"/>
        </w:rPr>
        <w:t xml:space="preserve"> engage the media </w:t>
      </w:r>
      <w:r w:rsidR="006B1343">
        <w:rPr>
          <w:rFonts w:ascii="Garamond" w:hAnsi="Garamond"/>
          <w:bCs/>
          <w:sz w:val="24"/>
          <w:szCs w:val="24"/>
        </w:rPr>
        <w:t>effectively,</w:t>
      </w:r>
      <w:r w:rsidR="00A50A43" w:rsidRPr="006C24DB">
        <w:rPr>
          <w:rFonts w:ascii="Garamond" w:hAnsi="Garamond"/>
          <w:bCs/>
          <w:sz w:val="24"/>
          <w:szCs w:val="24"/>
        </w:rPr>
        <w:t xml:space="preserve"> </w:t>
      </w:r>
      <w:r w:rsidR="00FC5C3C">
        <w:rPr>
          <w:rFonts w:ascii="Garamond" w:hAnsi="Garamond"/>
          <w:bCs/>
          <w:sz w:val="24"/>
          <w:szCs w:val="24"/>
        </w:rPr>
        <w:t xml:space="preserve">and </w:t>
      </w:r>
      <w:r w:rsidR="006B1343">
        <w:rPr>
          <w:rFonts w:ascii="Garamond" w:hAnsi="Garamond"/>
          <w:bCs/>
          <w:sz w:val="24"/>
          <w:szCs w:val="24"/>
        </w:rPr>
        <w:t>establish a more-</w:t>
      </w:r>
      <w:r w:rsidR="00A50A43">
        <w:rPr>
          <w:rFonts w:ascii="Garamond" w:hAnsi="Garamond"/>
          <w:bCs/>
          <w:sz w:val="24"/>
          <w:szCs w:val="24"/>
        </w:rPr>
        <w:t xml:space="preserve">informed public debate </w:t>
      </w:r>
      <w:r w:rsidR="006B1343">
        <w:rPr>
          <w:rFonts w:ascii="Garamond" w:hAnsi="Garamond"/>
          <w:bCs/>
          <w:sz w:val="24"/>
          <w:szCs w:val="24"/>
        </w:rPr>
        <w:t xml:space="preserve">on this issue </w:t>
      </w:r>
      <w:r w:rsidR="00A50A43">
        <w:rPr>
          <w:rFonts w:ascii="Garamond" w:hAnsi="Garamond"/>
          <w:bCs/>
          <w:sz w:val="24"/>
          <w:szCs w:val="24"/>
        </w:rPr>
        <w:t>in U</w:t>
      </w:r>
      <w:r w:rsidR="00FC5C3C">
        <w:rPr>
          <w:rFonts w:ascii="Garamond" w:hAnsi="Garamond"/>
          <w:bCs/>
          <w:sz w:val="24"/>
          <w:szCs w:val="24"/>
        </w:rPr>
        <w:t>ganda.</w:t>
      </w:r>
      <w:r w:rsidR="00A50A43">
        <w:rPr>
          <w:rFonts w:ascii="Garamond" w:hAnsi="Garamond"/>
          <w:bCs/>
          <w:sz w:val="24"/>
          <w:szCs w:val="24"/>
        </w:rPr>
        <w:t xml:space="preserve">  </w:t>
      </w:r>
    </w:p>
    <w:p w14:paraId="57F74A48" w14:textId="4D7A8B23" w:rsidR="006C24DB" w:rsidRPr="006C24DB" w:rsidRDefault="006C24DB" w:rsidP="006C24DB">
      <w:pPr>
        <w:spacing w:line="276" w:lineRule="auto"/>
        <w:rPr>
          <w:rFonts w:ascii="Garamond" w:hAnsi="Garamond"/>
          <w:bCs/>
          <w:sz w:val="24"/>
          <w:szCs w:val="24"/>
        </w:rPr>
      </w:pPr>
      <w:proofErr w:type="spellStart"/>
      <w:r w:rsidRPr="00BE4B9E">
        <w:rPr>
          <w:rFonts w:ascii="Garamond" w:hAnsi="Garamond"/>
          <w:bCs/>
          <w:sz w:val="24"/>
          <w:szCs w:val="24"/>
          <w:u w:val="single"/>
        </w:rPr>
        <w:t>Hakijamii</w:t>
      </w:r>
      <w:proofErr w:type="spellEnd"/>
      <w:r w:rsidRPr="006C24DB">
        <w:rPr>
          <w:rFonts w:ascii="Garamond" w:hAnsi="Garamond"/>
          <w:bCs/>
          <w:sz w:val="24"/>
          <w:szCs w:val="24"/>
        </w:rPr>
        <w:t xml:space="preserve"> </w:t>
      </w:r>
      <w:r w:rsidR="006B1343">
        <w:rPr>
          <w:rFonts w:ascii="Garamond" w:hAnsi="Garamond"/>
          <w:bCs/>
          <w:sz w:val="24"/>
          <w:szCs w:val="24"/>
        </w:rPr>
        <w:t>was</w:t>
      </w:r>
      <w:r w:rsidR="00FC5C3C">
        <w:rPr>
          <w:rFonts w:ascii="Garamond" w:hAnsi="Garamond"/>
          <w:bCs/>
          <w:sz w:val="24"/>
          <w:szCs w:val="24"/>
        </w:rPr>
        <w:t xml:space="preserve"> also a </w:t>
      </w:r>
      <w:r w:rsidR="00FC5C3C" w:rsidRPr="006C24DB">
        <w:rPr>
          <w:rFonts w:ascii="Garamond" w:hAnsi="Garamond"/>
          <w:bCs/>
          <w:sz w:val="24"/>
          <w:szCs w:val="24"/>
        </w:rPr>
        <w:t xml:space="preserve">partner </w:t>
      </w:r>
      <w:r w:rsidR="00FC5C3C">
        <w:rPr>
          <w:rFonts w:ascii="Garamond" w:hAnsi="Garamond"/>
          <w:bCs/>
          <w:sz w:val="24"/>
          <w:szCs w:val="24"/>
        </w:rPr>
        <w:t>in ESP’s PERI</w:t>
      </w:r>
      <w:r w:rsidR="00FC5C3C" w:rsidRPr="006C24DB">
        <w:rPr>
          <w:rFonts w:ascii="Garamond" w:hAnsi="Garamond"/>
          <w:bCs/>
          <w:sz w:val="24"/>
          <w:szCs w:val="24"/>
        </w:rPr>
        <w:t xml:space="preserve"> </w:t>
      </w:r>
      <w:r w:rsidR="00FC5C3C">
        <w:rPr>
          <w:rFonts w:ascii="Garamond" w:hAnsi="Garamond"/>
          <w:bCs/>
          <w:sz w:val="24"/>
          <w:szCs w:val="24"/>
        </w:rPr>
        <w:t>research</w:t>
      </w:r>
      <w:r w:rsidRPr="006C24DB">
        <w:rPr>
          <w:rFonts w:ascii="Garamond" w:hAnsi="Garamond"/>
          <w:bCs/>
          <w:sz w:val="24"/>
          <w:szCs w:val="24"/>
        </w:rPr>
        <w:t xml:space="preserve"> on privatisation and the right to education. </w:t>
      </w:r>
      <w:r w:rsidR="00FC5C3C">
        <w:rPr>
          <w:rFonts w:ascii="Garamond" w:hAnsi="Garamond"/>
          <w:bCs/>
          <w:sz w:val="24"/>
          <w:szCs w:val="24"/>
        </w:rPr>
        <w:t>The</w:t>
      </w:r>
      <w:r w:rsidR="00944425">
        <w:rPr>
          <w:rFonts w:ascii="Garamond" w:hAnsi="Garamond"/>
          <w:bCs/>
          <w:sz w:val="24"/>
          <w:szCs w:val="24"/>
        </w:rPr>
        <w:t>y</w:t>
      </w:r>
      <w:r w:rsidR="00FC5C3C">
        <w:rPr>
          <w:rFonts w:ascii="Garamond" w:hAnsi="Garamond"/>
          <w:bCs/>
          <w:sz w:val="24"/>
          <w:szCs w:val="24"/>
        </w:rPr>
        <w:t xml:space="preserve"> </w:t>
      </w:r>
      <w:r w:rsidRPr="006C24DB">
        <w:rPr>
          <w:rFonts w:ascii="Garamond" w:hAnsi="Garamond"/>
          <w:bCs/>
          <w:sz w:val="24"/>
          <w:szCs w:val="24"/>
        </w:rPr>
        <w:t>led the research on privatisation in education to inform two separate parallel</w:t>
      </w:r>
      <w:r w:rsidR="00FC5C3C">
        <w:rPr>
          <w:rFonts w:ascii="Garamond" w:hAnsi="Garamond"/>
          <w:bCs/>
          <w:sz w:val="24"/>
          <w:szCs w:val="24"/>
        </w:rPr>
        <w:t xml:space="preserve"> reports submitted to the CRC and the CESCR. </w:t>
      </w:r>
      <w:r w:rsidRPr="006C24DB">
        <w:rPr>
          <w:rFonts w:ascii="Garamond" w:hAnsi="Garamond"/>
          <w:bCs/>
          <w:sz w:val="24"/>
          <w:szCs w:val="24"/>
        </w:rPr>
        <w:t xml:space="preserve">The organization was </w:t>
      </w:r>
      <w:r w:rsidR="00FC5C3C">
        <w:rPr>
          <w:rFonts w:ascii="Garamond" w:hAnsi="Garamond"/>
          <w:bCs/>
          <w:sz w:val="24"/>
          <w:szCs w:val="24"/>
        </w:rPr>
        <w:t xml:space="preserve">also </w:t>
      </w:r>
      <w:r w:rsidRPr="006C24DB">
        <w:rPr>
          <w:rFonts w:ascii="Garamond" w:hAnsi="Garamond"/>
          <w:bCs/>
          <w:sz w:val="24"/>
          <w:szCs w:val="24"/>
        </w:rPr>
        <w:t>successful in soliciting questions from the CESCR round informal schools and regulation</w:t>
      </w:r>
      <w:r w:rsidR="00FC5C3C">
        <w:rPr>
          <w:rFonts w:ascii="Garamond" w:hAnsi="Garamond"/>
          <w:bCs/>
          <w:sz w:val="24"/>
          <w:szCs w:val="24"/>
        </w:rPr>
        <w:t>, which has</w:t>
      </w:r>
      <w:r w:rsidRPr="006C24DB">
        <w:rPr>
          <w:rFonts w:ascii="Garamond" w:hAnsi="Garamond"/>
          <w:bCs/>
          <w:sz w:val="24"/>
          <w:szCs w:val="24"/>
        </w:rPr>
        <w:t xml:space="preserve"> helped to catalyse national debate around the impact</w:t>
      </w:r>
      <w:r w:rsidR="00FC5C3C">
        <w:rPr>
          <w:rFonts w:ascii="Garamond" w:hAnsi="Garamond"/>
          <w:bCs/>
          <w:sz w:val="24"/>
          <w:szCs w:val="24"/>
        </w:rPr>
        <w:t>s</w:t>
      </w:r>
      <w:r w:rsidRPr="006C24DB">
        <w:rPr>
          <w:rFonts w:ascii="Garamond" w:hAnsi="Garamond"/>
          <w:bCs/>
          <w:sz w:val="24"/>
          <w:szCs w:val="24"/>
        </w:rPr>
        <w:t xml:space="preserve"> of </w:t>
      </w:r>
      <w:r w:rsidR="00FC5C3C">
        <w:rPr>
          <w:rFonts w:ascii="Garamond" w:hAnsi="Garamond"/>
          <w:bCs/>
          <w:sz w:val="24"/>
          <w:szCs w:val="24"/>
        </w:rPr>
        <w:t xml:space="preserve">the </w:t>
      </w:r>
      <w:r w:rsidRPr="006C24DB">
        <w:rPr>
          <w:rFonts w:ascii="Garamond" w:hAnsi="Garamond"/>
          <w:bCs/>
          <w:sz w:val="24"/>
          <w:szCs w:val="24"/>
        </w:rPr>
        <w:t>rapid growth of private  provision, in particular</w:t>
      </w:r>
      <w:r w:rsidR="00FC5C3C">
        <w:rPr>
          <w:rFonts w:ascii="Garamond" w:hAnsi="Garamond"/>
          <w:bCs/>
          <w:sz w:val="24"/>
          <w:szCs w:val="24"/>
        </w:rPr>
        <w:t xml:space="preserve"> </w:t>
      </w:r>
      <w:r w:rsidRPr="006C24DB">
        <w:rPr>
          <w:rFonts w:ascii="Garamond" w:hAnsi="Garamond"/>
          <w:bCs/>
          <w:sz w:val="24"/>
          <w:szCs w:val="24"/>
          <w:lang w:val="en-US"/>
        </w:rPr>
        <w:t xml:space="preserve">of low-fee </w:t>
      </w:r>
      <w:r w:rsidR="00FC5C3C">
        <w:rPr>
          <w:rFonts w:ascii="Garamond" w:hAnsi="Garamond"/>
          <w:bCs/>
          <w:sz w:val="24"/>
          <w:szCs w:val="24"/>
          <w:lang w:val="en-US"/>
        </w:rPr>
        <w:t xml:space="preserve">private schools in the </w:t>
      </w:r>
      <w:proofErr w:type="spellStart"/>
      <w:r w:rsidR="00FC5C3C">
        <w:rPr>
          <w:rFonts w:ascii="Garamond" w:hAnsi="Garamond"/>
          <w:bCs/>
          <w:sz w:val="24"/>
          <w:szCs w:val="24"/>
          <w:lang w:val="en-US"/>
        </w:rPr>
        <w:t>Mathare</w:t>
      </w:r>
      <w:proofErr w:type="spellEnd"/>
      <w:r w:rsidRPr="006C24DB">
        <w:rPr>
          <w:rFonts w:ascii="Garamond" w:hAnsi="Garamond"/>
          <w:bCs/>
          <w:sz w:val="24"/>
          <w:szCs w:val="24"/>
          <w:lang w:val="en-US"/>
        </w:rPr>
        <w:t xml:space="preserve"> slum in Nairobi. </w:t>
      </w:r>
      <w:r w:rsidRPr="006C24DB">
        <w:rPr>
          <w:rFonts w:ascii="Garamond" w:hAnsi="Garamond"/>
          <w:bCs/>
          <w:sz w:val="24"/>
          <w:szCs w:val="24"/>
        </w:rPr>
        <w:t xml:space="preserve">It has also fostered discussion around </w:t>
      </w:r>
      <w:r w:rsidRPr="006C24DB">
        <w:rPr>
          <w:rFonts w:ascii="Garamond" w:hAnsi="Garamond"/>
          <w:bCs/>
          <w:sz w:val="24"/>
          <w:szCs w:val="24"/>
        </w:rPr>
        <w:lastRenderedPageBreak/>
        <w:t xml:space="preserve">state accountability, and enabled </w:t>
      </w:r>
      <w:proofErr w:type="spellStart"/>
      <w:r w:rsidRPr="006C24DB">
        <w:rPr>
          <w:rFonts w:ascii="Garamond" w:hAnsi="Garamond"/>
          <w:bCs/>
          <w:sz w:val="24"/>
          <w:szCs w:val="24"/>
        </w:rPr>
        <w:t>Hakijamii</w:t>
      </w:r>
      <w:proofErr w:type="spellEnd"/>
      <w:r w:rsidRPr="006C24DB">
        <w:rPr>
          <w:rFonts w:ascii="Garamond" w:hAnsi="Garamond"/>
          <w:bCs/>
          <w:sz w:val="24"/>
          <w:szCs w:val="24"/>
        </w:rPr>
        <w:t xml:space="preserve"> and other organisations to pursue advocacy with national policy makers around standard setting on privatization and the right to education.</w:t>
      </w:r>
    </w:p>
    <w:p w14:paraId="3A636A0D" w14:textId="3FCA9F58" w:rsidR="0094169F" w:rsidRDefault="0094169F" w:rsidP="0094169F">
      <w:pPr>
        <w:spacing w:line="276" w:lineRule="auto"/>
        <w:rPr>
          <w:rFonts w:ascii="Garamond" w:hAnsi="Garamond"/>
          <w:bCs/>
          <w:sz w:val="24"/>
          <w:szCs w:val="24"/>
        </w:rPr>
      </w:pPr>
      <w:r w:rsidRPr="00BE4B9E">
        <w:rPr>
          <w:rFonts w:ascii="Garamond" w:hAnsi="Garamond"/>
          <w:bCs/>
          <w:sz w:val="24"/>
          <w:szCs w:val="24"/>
          <w:u w:val="single"/>
        </w:rPr>
        <w:t>The national coalition in Ghana (GNECC)</w:t>
      </w:r>
      <w:r>
        <w:rPr>
          <w:rFonts w:ascii="Garamond" w:hAnsi="Garamond"/>
          <w:bCs/>
          <w:sz w:val="24"/>
          <w:szCs w:val="24"/>
        </w:rPr>
        <w:t xml:space="preserve"> was formed in 1999 and has grown steadily into</w:t>
      </w:r>
      <w:r w:rsidRPr="006C24DB">
        <w:rPr>
          <w:rFonts w:ascii="Garamond" w:hAnsi="Garamond"/>
          <w:bCs/>
          <w:sz w:val="24"/>
          <w:szCs w:val="24"/>
        </w:rPr>
        <w:t xml:space="preserve"> a network </w:t>
      </w:r>
      <w:r w:rsidR="005D5D2C">
        <w:rPr>
          <w:rFonts w:ascii="Garamond" w:hAnsi="Garamond"/>
          <w:bCs/>
          <w:sz w:val="24"/>
          <w:szCs w:val="24"/>
        </w:rPr>
        <w:t xml:space="preserve">of </w:t>
      </w:r>
      <w:r w:rsidRPr="006C24DB">
        <w:rPr>
          <w:rFonts w:ascii="Garamond" w:hAnsi="Garamond"/>
          <w:bCs/>
          <w:sz w:val="24"/>
          <w:szCs w:val="24"/>
        </w:rPr>
        <w:t xml:space="preserve">77 </w:t>
      </w:r>
      <w:r w:rsidR="002C49DD">
        <w:rPr>
          <w:rFonts w:ascii="Garamond" w:hAnsi="Garamond"/>
          <w:bCs/>
          <w:sz w:val="24"/>
          <w:szCs w:val="24"/>
        </w:rPr>
        <w:t>civil society organizations and professionals</w:t>
      </w:r>
      <w:r w:rsidRPr="006C24DB">
        <w:rPr>
          <w:rFonts w:ascii="Garamond" w:hAnsi="Garamond"/>
          <w:bCs/>
          <w:sz w:val="24"/>
          <w:szCs w:val="24"/>
        </w:rPr>
        <w:t xml:space="preserve"> </w:t>
      </w:r>
      <w:r>
        <w:rPr>
          <w:rFonts w:ascii="Garamond" w:hAnsi="Garamond"/>
          <w:bCs/>
          <w:sz w:val="24"/>
          <w:szCs w:val="24"/>
        </w:rPr>
        <w:t>committed to promoting</w:t>
      </w:r>
      <w:r w:rsidRPr="006C24DB">
        <w:rPr>
          <w:rFonts w:ascii="Garamond" w:hAnsi="Garamond"/>
          <w:bCs/>
          <w:sz w:val="24"/>
          <w:szCs w:val="24"/>
        </w:rPr>
        <w:t xml:space="preserve"> education for all. GNECC’s research revealed that this growth of private schools leads to segregation </w:t>
      </w:r>
      <w:r>
        <w:rPr>
          <w:rFonts w:ascii="Garamond" w:hAnsi="Garamond"/>
          <w:bCs/>
          <w:sz w:val="24"/>
          <w:szCs w:val="24"/>
        </w:rPr>
        <w:t>based on</w:t>
      </w:r>
      <w:r w:rsidRPr="006C24DB">
        <w:rPr>
          <w:rFonts w:ascii="Garamond" w:hAnsi="Garamond"/>
          <w:bCs/>
          <w:sz w:val="24"/>
          <w:szCs w:val="24"/>
        </w:rPr>
        <w:t xml:space="preserve"> wealth, reflecting the persistent in</w:t>
      </w:r>
      <w:r>
        <w:rPr>
          <w:rFonts w:ascii="Garamond" w:hAnsi="Garamond"/>
          <w:bCs/>
          <w:sz w:val="24"/>
          <w:szCs w:val="24"/>
        </w:rPr>
        <w:t>come inequalities across Ghana, which it used to</w:t>
      </w:r>
      <w:r w:rsidR="007F6BD5">
        <w:rPr>
          <w:rFonts w:ascii="Garamond" w:hAnsi="Garamond"/>
          <w:bCs/>
          <w:sz w:val="24"/>
          <w:szCs w:val="24"/>
        </w:rPr>
        <w:t xml:space="preserve"> produce reports to </w:t>
      </w:r>
      <w:r w:rsidRPr="006C24DB">
        <w:rPr>
          <w:rFonts w:ascii="Garamond" w:hAnsi="Garamond"/>
          <w:bCs/>
          <w:sz w:val="24"/>
          <w:szCs w:val="24"/>
        </w:rPr>
        <w:t>human rights bodies</w:t>
      </w:r>
      <w:r>
        <w:rPr>
          <w:rFonts w:ascii="Garamond" w:hAnsi="Garamond"/>
          <w:bCs/>
          <w:sz w:val="24"/>
          <w:szCs w:val="24"/>
        </w:rPr>
        <w:t>, including the CRC</w:t>
      </w:r>
      <w:r w:rsidR="007F6BD5">
        <w:rPr>
          <w:rFonts w:ascii="Garamond" w:hAnsi="Garamond"/>
          <w:bCs/>
          <w:sz w:val="24"/>
          <w:szCs w:val="24"/>
        </w:rPr>
        <w:t xml:space="preserve"> and CEDAW who</w:t>
      </w:r>
      <w:r w:rsidRPr="006C24DB">
        <w:rPr>
          <w:rFonts w:ascii="Garamond" w:hAnsi="Garamond"/>
          <w:bCs/>
          <w:sz w:val="24"/>
          <w:szCs w:val="24"/>
        </w:rPr>
        <w:t xml:space="preserve"> </w:t>
      </w:r>
      <w:r w:rsidR="007F6BD5">
        <w:rPr>
          <w:rFonts w:ascii="Garamond" w:hAnsi="Garamond"/>
          <w:bCs/>
          <w:sz w:val="24"/>
          <w:szCs w:val="24"/>
        </w:rPr>
        <w:t xml:space="preserve">then </w:t>
      </w:r>
      <w:r w:rsidRPr="006C24DB">
        <w:rPr>
          <w:rFonts w:ascii="Garamond" w:hAnsi="Garamond"/>
          <w:bCs/>
          <w:sz w:val="24"/>
          <w:szCs w:val="24"/>
        </w:rPr>
        <w:t>raised</w:t>
      </w:r>
      <w:r>
        <w:rPr>
          <w:rFonts w:ascii="Garamond" w:hAnsi="Garamond"/>
          <w:bCs/>
          <w:sz w:val="24"/>
          <w:szCs w:val="24"/>
        </w:rPr>
        <w:t xml:space="preserve"> questions with the government. This </w:t>
      </w:r>
      <w:r w:rsidRPr="006C24DB">
        <w:rPr>
          <w:rFonts w:ascii="Garamond" w:hAnsi="Garamond"/>
          <w:bCs/>
          <w:sz w:val="24"/>
          <w:szCs w:val="24"/>
        </w:rPr>
        <w:t>generate</w:t>
      </w:r>
      <w:r>
        <w:rPr>
          <w:rFonts w:ascii="Garamond" w:hAnsi="Garamond"/>
          <w:bCs/>
          <w:sz w:val="24"/>
          <w:szCs w:val="24"/>
        </w:rPr>
        <w:t>d</w:t>
      </w:r>
      <w:r w:rsidRPr="006C24DB">
        <w:rPr>
          <w:rFonts w:ascii="Garamond" w:hAnsi="Garamond"/>
          <w:bCs/>
          <w:sz w:val="24"/>
          <w:szCs w:val="24"/>
        </w:rPr>
        <w:t xml:space="preserve"> media interest </w:t>
      </w:r>
      <w:r>
        <w:rPr>
          <w:rFonts w:ascii="Garamond" w:hAnsi="Garamond"/>
          <w:bCs/>
          <w:sz w:val="24"/>
          <w:szCs w:val="24"/>
        </w:rPr>
        <w:t>and a public</w:t>
      </w:r>
      <w:r w:rsidRPr="006C24DB">
        <w:rPr>
          <w:rFonts w:ascii="Garamond" w:hAnsi="Garamond"/>
          <w:bCs/>
          <w:sz w:val="24"/>
          <w:szCs w:val="24"/>
        </w:rPr>
        <w:t xml:space="preserve"> debate </w:t>
      </w:r>
      <w:r>
        <w:rPr>
          <w:rFonts w:ascii="Garamond" w:hAnsi="Garamond"/>
          <w:bCs/>
          <w:sz w:val="24"/>
          <w:szCs w:val="24"/>
        </w:rPr>
        <w:t>forcing</w:t>
      </w:r>
      <w:r w:rsidRPr="006C24DB">
        <w:rPr>
          <w:rFonts w:ascii="Garamond" w:hAnsi="Garamond"/>
          <w:bCs/>
          <w:sz w:val="24"/>
          <w:szCs w:val="24"/>
        </w:rPr>
        <w:t xml:space="preserve"> the government to</w:t>
      </w:r>
      <w:r w:rsidR="007F6BD5">
        <w:rPr>
          <w:rFonts w:ascii="Garamond" w:hAnsi="Garamond"/>
          <w:bCs/>
          <w:sz w:val="24"/>
          <w:szCs w:val="24"/>
        </w:rPr>
        <w:t xml:space="preserve"> respond</w:t>
      </w:r>
      <w:r w:rsidRPr="006C24DB">
        <w:rPr>
          <w:rFonts w:ascii="Garamond" w:hAnsi="Garamond"/>
          <w:bCs/>
          <w:sz w:val="24"/>
          <w:szCs w:val="24"/>
        </w:rPr>
        <w:t xml:space="preserve"> to the issues. </w:t>
      </w:r>
      <w:r w:rsidR="007F6BD5">
        <w:rPr>
          <w:rFonts w:ascii="Garamond" w:hAnsi="Garamond"/>
          <w:bCs/>
          <w:sz w:val="24"/>
          <w:szCs w:val="24"/>
        </w:rPr>
        <w:t xml:space="preserve">The </w:t>
      </w:r>
      <w:r>
        <w:rPr>
          <w:rFonts w:ascii="Garamond" w:hAnsi="Garamond"/>
          <w:bCs/>
          <w:sz w:val="24"/>
          <w:szCs w:val="24"/>
        </w:rPr>
        <w:t xml:space="preserve">government now accepts </w:t>
      </w:r>
      <w:r w:rsidRPr="006C24DB">
        <w:rPr>
          <w:rFonts w:ascii="Garamond" w:hAnsi="Garamond"/>
          <w:bCs/>
          <w:sz w:val="24"/>
          <w:szCs w:val="24"/>
        </w:rPr>
        <w:t xml:space="preserve">that </w:t>
      </w:r>
      <w:r w:rsidR="007F6BD5">
        <w:rPr>
          <w:rFonts w:ascii="Garamond" w:hAnsi="Garamond"/>
          <w:bCs/>
          <w:sz w:val="24"/>
          <w:szCs w:val="24"/>
        </w:rPr>
        <w:t>private</w:t>
      </w:r>
      <w:r w:rsidRPr="006C24DB">
        <w:rPr>
          <w:rFonts w:ascii="Garamond" w:hAnsi="Garamond"/>
          <w:bCs/>
          <w:sz w:val="24"/>
          <w:szCs w:val="24"/>
        </w:rPr>
        <w:t xml:space="preserve"> </w:t>
      </w:r>
      <w:r w:rsidR="007F6BD5">
        <w:rPr>
          <w:rFonts w:ascii="Garamond" w:hAnsi="Garamond"/>
          <w:bCs/>
          <w:sz w:val="24"/>
          <w:szCs w:val="24"/>
        </w:rPr>
        <w:t>participants</w:t>
      </w:r>
      <w:r w:rsidRPr="006C24DB">
        <w:rPr>
          <w:rFonts w:ascii="Garamond" w:hAnsi="Garamond"/>
          <w:bCs/>
          <w:sz w:val="24"/>
          <w:szCs w:val="24"/>
        </w:rPr>
        <w:t xml:space="preserve"> </w:t>
      </w:r>
      <w:r w:rsidR="007F6BD5">
        <w:rPr>
          <w:rFonts w:ascii="Garamond" w:hAnsi="Garamond"/>
          <w:bCs/>
          <w:sz w:val="24"/>
          <w:szCs w:val="24"/>
        </w:rPr>
        <w:t>require</w:t>
      </w:r>
      <w:r w:rsidRPr="006C24DB">
        <w:rPr>
          <w:rFonts w:ascii="Garamond" w:hAnsi="Garamond"/>
          <w:bCs/>
          <w:sz w:val="24"/>
          <w:szCs w:val="24"/>
        </w:rPr>
        <w:t xml:space="preserve"> greater oversight and regulation</w:t>
      </w:r>
      <w:r w:rsidR="007F6BD5">
        <w:rPr>
          <w:rFonts w:ascii="Garamond" w:hAnsi="Garamond"/>
          <w:bCs/>
          <w:sz w:val="24"/>
          <w:szCs w:val="24"/>
        </w:rPr>
        <w:t xml:space="preserve"> and consistently consults</w:t>
      </w:r>
      <w:r w:rsidR="007F6BD5" w:rsidRPr="006C24DB">
        <w:rPr>
          <w:rFonts w:ascii="Garamond" w:hAnsi="Garamond"/>
          <w:bCs/>
          <w:sz w:val="24"/>
          <w:szCs w:val="24"/>
        </w:rPr>
        <w:t xml:space="preserve"> GNECC </w:t>
      </w:r>
      <w:r w:rsidRPr="006C24DB">
        <w:rPr>
          <w:rFonts w:ascii="Garamond" w:hAnsi="Garamond"/>
          <w:bCs/>
          <w:sz w:val="24"/>
          <w:szCs w:val="24"/>
        </w:rPr>
        <w:t xml:space="preserve">on policy </w:t>
      </w:r>
      <w:r w:rsidR="007F6BD5">
        <w:rPr>
          <w:rFonts w:ascii="Garamond" w:hAnsi="Garamond"/>
          <w:bCs/>
          <w:sz w:val="24"/>
          <w:szCs w:val="24"/>
        </w:rPr>
        <w:t>related to privatisation in education</w:t>
      </w:r>
      <w:r w:rsidRPr="006C24DB">
        <w:rPr>
          <w:rFonts w:ascii="Garamond" w:hAnsi="Garamond"/>
          <w:bCs/>
          <w:sz w:val="24"/>
          <w:szCs w:val="24"/>
        </w:rPr>
        <w:t xml:space="preserve">. </w:t>
      </w:r>
    </w:p>
    <w:p w14:paraId="1FEAF020" w14:textId="135A7538" w:rsidR="006C24DB" w:rsidRPr="0094169F" w:rsidRDefault="0094169F" w:rsidP="006C24DB">
      <w:pPr>
        <w:spacing w:line="276" w:lineRule="auto"/>
        <w:rPr>
          <w:rFonts w:ascii="Garamond" w:hAnsi="Garamond"/>
          <w:bCs/>
          <w:sz w:val="24"/>
          <w:szCs w:val="24"/>
          <w:lang w:val="en-US"/>
        </w:rPr>
      </w:pPr>
      <w:r w:rsidRPr="0094169F">
        <w:rPr>
          <w:rFonts w:ascii="Garamond" w:hAnsi="Garamond"/>
          <w:bCs/>
          <w:sz w:val="24"/>
          <w:szCs w:val="24"/>
          <w:lang w:val="en-US"/>
        </w:rPr>
        <w:t xml:space="preserve">We consider that this strategy has been very effective for increasing public debate </w:t>
      </w:r>
      <w:r w:rsidR="00944425">
        <w:rPr>
          <w:rFonts w:ascii="Garamond" w:hAnsi="Garamond"/>
          <w:bCs/>
          <w:sz w:val="24"/>
          <w:szCs w:val="24"/>
          <w:lang w:val="en-US"/>
        </w:rPr>
        <w:t xml:space="preserve">at the national level </w:t>
      </w:r>
      <w:r w:rsidRPr="0094169F">
        <w:rPr>
          <w:rFonts w:ascii="Garamond" w:hAnsi="Garamond"/>
          <w:bCs/>
          <w:sz w:val="24"/>
          <w:szCs w:val="24"/>
          <w:lang w:val="en-US"/>
        </w:rPr>
        <w:t xml:space="preserve">on the issue of low-fee private schools and the need for better regulation and for getting the government to take this </w:t>
      </w:r>
      <w:r w:rsidR="006B1343">
        <w:rPr>
          <w:rFonts w:ascii="Garamond" w:hAnsi="Garamond"/>
          <w:bCs/>
          <w:sz w:val="24"/>
          <w:szCs w:val="24"/>
          <w:lang w:val="en-US"/>
        </w:rPr>
        <w:t xml:space="preserve">issue </w:t>
      </w:r>
      <w:r w:rsidRPr="0094169F">
        <w:rPr>
          <w:rFonts w:ascii="Garamond" w:hAnsi="Garamond"/>
          <w:bCs/>
          <w:sz w:val="24"/>
          <w:szCs w:val="24"/>
          <w:lang w:val="en-US"/>
        </w:rPr>
        <w:t xml:space="preserve">seriously. Work we supported through the Global Initiative for Economic Social and Cultural Rights (GI-ESCR) had similar results in Morocco. </w:t>
      </w:r>
      <w:r>
        <w:rPr>
          <w:rFonts w:ascii="Garamond" w:hAnsi="Garamond"/>
          <w:bCs/>
          <w:sz w:val="24"/>
          <w:szCs w:val="24"/>
          <w:lang w:val="en-US"/>
        </w:rPr>
        <w:t>Our concern is that adequate support and relationships are put in place to ensure adequate follow through after these actions. It would have made a huge difference to have had a stronger buy-in from the national foundations</w:t>
      </w:r>
      <w:r w:rsidR="00944425">
        <w:rPr>
          <w:rFonts w:ascii="Garamond" w:hAnsi="Garamond"/>
          <w:bCs/>
          <w:sz w:val="24"/>
          <w:szCs w:val="24"/>
          <w:lang w:val="en-US"/>
        </w:rPr>
        <w:t xml:space="preserve">, </w:t>
      </w:r>
      <w:r w:rsidR="006B1343">
        <w:rPr>
          <w:rFonts w:ascii="Garamond" w:hAnsi="Garamond"/>
          <w:bCs/>
          <w:sz w:val="24"/>
          <w:szCs w:val="24"/>
          <w:lang w:val="en-US"/>
        </w:rPr>
        <w:t>with which we shall work closely as we</w:t>
      </w:r>
      <w:r w:rsidR="00944425">
        <w:rPr>
          <w:rFonts w:ascii="Garamond" w:hAnsi="Garamond"/>
          <w:bCs/>
          <w:sz w:val="24"/>
          <w:szCs w:val="24"/>
          <w:lang w:val="en-US"/>
        </w:rPr>
        <w:t xml:space="preserve"> </w:t>
      </w:r>
      <w:r>
        <w:rPr>
          <w:rFonts w:ascii="Garamond" w:hAnsi="Garamond"/>
          <w:bCs/>
          <w:sz w:val="24"/>
          <w:szCs w:val="24"/>
          <w:lang w:val="en-US"/>
        </w:rPr>
        <w:t xml:space="preserve">develop </w:t>
      </w:r>
      <w:r w:rsidR="00944425">
        <w:rPr>
          <w:rFonts w:ascii="Garamond" w:hAnsi="Garamond"/>
          <w:bCs/>
          <w:sz w:val="24"/>
          <w:szCs w:val="24"/>
          <w:lang w:val="en-US"/>
        </w:rPr>
        <w:t xml:space="preserve">a </w:t>
      </w:r>
      <w:r>
        <w:rPr>
          <w:rFonts w:ascii="Garamond" w:hAnsi="Garamond"/>
          <w:bCs/>
          <w:sz w:val="24"/>
          <w:szCs w:val="24"/>
          <w:lang w:val="en-US"/>
        </w:rPr>
        <w:t xml:space="preserve">framework for </w:t>
      </w:r>
      <w:r w:rsidR="006B1343">
        <w:rPr>
          <w:rFonts w:ascii="Garamond" w:hAnsi="Garamond"/>
          <w:bCs/>
          <w:sz w:val="24"/>
          <w:szCs w:val="24"/>
          <w:lang w:val="en-US"/>
        </w:rPr>
        <w:t xml:space="preserve">the </w:t>
      </w:r>
      <w:r>
        <w:rPr>
          <w:rFonts w:ascii="Garamond" w:hAnsi="Garamond"/>
          <w:bCs/>
          <w:sz w:val="24"/>
          <w:szCs w:val="24"/>
          <w:lang w:val="en-US"/>
        </w:rPr>
        <w:t>better regulation of private sector participants in education</w:t>
      </w:r>
      <w:r w:rsidR="006B1343">
        <w:rPr>
          <w:rFonts w:ascii="Garamond" w:hAnsi="Garamond"/>
          <w:bCs/>
          <w:sz w:val="24"/>
          <w:szCs w:val="24"/>
          <w:lang w:val="en-US"/>
        </w:rPr>
        <w:t xml:space="preserve"> over our next strategy phase</w:t>
      </w:r>
      <w:r>
        <w:rPr>
          <w:rFonts w:ascii="Garamond" w:hAnsi="Garamond"/>
          <w:bCs/>
          <w:sz w:val="24"/>
          <w:szCs w:val="24"/>
          <w:lang w:val="en-US"/>
        </w:rPr>
        <w:t xml:space="preserve">. </w:t>
      </w:r>
      <w:r w:rsidRPr="0094169F">
        <w:rPr>
          <w:rFonts w:ascii="Garamond" w:hAnsi="Garamond"/>
          <w:bCs/>
          <w:sz w:val="24"/>
          <w:szCs w:val="24"/>
          <w:lang w:val="en-US"/>
        </w:rPr>
        <w:t xml:space="preserve"> </w:t>
      </w:r>
    </w:p>
    <w:p w14:paraId="3E79A187" w14:textId="05C91305" w:rsidR="009F5E6D" w:rsidRPr="00FC49B7" w:rsidRDefault="009F5E6D" w:rsidP="00647965">
      <w:pPr>
        <w:pStyle w:val="ListParagraph"/>
        <w:numPr>
          <w:ilvl w:val="0"/>
          <w:numId w:val="4"/>
        </w:numPr>
        <w:tabs>
          <w:tab w:val="left" w:pos="3936"/>
          <w:tab w:val="left" w:pos="5467"/>
        </w:tabs>
        <w:spacing w:before="240" w:line="276" w:lineRule="auto"/>
        <w:ind w:left="714" w:hanging="357"/>
        <w:rPr>
          <w:rFonts w:ascii="Garamond" w:hAnsi="Garamond"/>
          <w:b/>
          <w:bCs/>
          <w:i/>
          <w:sz w:val="24"/>
          <w:szCs w:val="24"/>
        </w:rPr>
      </w:pPr>
      <w:r w:rsidRPr="00FC49B7">
        <w:rPr>
          <w:rFonts w:ascii="Garamond" w:hAnsi="Garamond"/>
          <w:b/>
          <w:bCs/>
          <w:i/>
          <w:sz w:val="24"/>
          <w:szCs w:val="24"/>
        </w:rPr>
        <w:t>Citizens</w:t>
      </w:r>
      <w:r w:rsidR="00A34B9A" w:rsidRPr="00FC49B7">
        <w:rPr>
          <w:rFonts w:ascii="Garamond" w:hAnsi="Garamond"/>
          <w:b/>
          <w:bCs/>
          <w:i/>
          <w:sz w:val="24"/>
          <w:szCs w:val="24"/>
        </w:rPr>
        <w:t>’</w:t>
      </w:r>
      <w:r w:rsidR="006C24DB" w:rsidRPr="00FC49B7">
        <w:rPr>
          <w:rFonts w:ascii="Garamond" w:hAnsi="Garamond"/>
          <w:b/>
          <w:bCs/>
          <w:i/>
          <w:sz w:val="24"/>
          <w:szCs w:val="24"/>
        </w:rPr>
        <w:t xml:space="preserve"> assessments</w:t>
      </w:r>
    </w:p>
    <w:p w14:paraId="60ADFF99" w14:textId="24E8AB36" w:rsidR="00172F00" w:rsidRDefault="00647965" w:rsidP="00BB39E9">
      <w:pPr>
        <w:spacing w:before="0" w:line="276" w:lineRule="auto"/>
        <w:rPr>
          <w:rFonts w:ascii="Garamond" w:hAnsi="Garamond"/>
          <w:bCs/>
          <w:sz w:val="24"/>
          <w:szCs w:val="24"/>
        </w:rPr>
      </w:pPr>
      <w:r>
        <w:rPr>
          <w:rFonts w:ascii="Garamond" w:hAnsi="Garamond"/>
          <w:bCs/>
          <w:sz w:val="24"/>
          <w:szCs w:val="24"/>
        </w:rPr>
        <w:t xml:space="preserve">The approach </w:t>
      </w:r>
      <w:r w:rsidR="00172F00">
        <w:rPr>
          <w:rFonts w:ascii="Garamond" w:hAnsi="Garamond"/>
          <w:bCs/>
          <w:sz w:val="24"/>
          <w:szCs w:val="24"/>
        </w:rPr>
        <w:t>develops</w:t>
      </w:r>
      <w:r>
        <w:rPr>
          <w:rFonts w:ascii="Garamond" w:hAnsi="Garamond"/>
          <w:bCs/>
          <w:sz w:val="24"/>
          <w:szCs w:val="24"/>
        </w:rPr>
        <w:t xml:space="preserve"> the idea of </w:t>
      </w:r>
      <w:r w:rsidR="00172F00">
        <w:rPr>
          <w:rFonts w:ascii="Garamond" w:hAnsi="Garamond"/>
          <w:bCs/>
          <w:sz w:val="24"/>
          <w:szCs w:val="24"/>
        </w:rPr>
        <w:t xml:space="preserve">social accounting and social audits </w:t>
      </w:r>
      <w:r>
        <w:rPr>
          <w:rFonts w:ascii="Garamond" w:hAnsi="Garamond"/>
          <w:bCs/>
          <w:sz w:val="24"/>
          <w:szCs w:val="24"/>
        </w:rPr>
        <w:t>that ha</w:t>
      </w:r>
      <w:r w:rsidR="00172F00">
        <w:rPr>
          <w:rFonts w:ascii="Garamond" w:hAnsi="Garamond"/>
          <w:bCs/>
          <w:sz w:val="24"/>
          <w:szCs w:val="24"/>
        </w:rPr>
        <w:t>ve</w:t>
      </w:r>
      <w:r>
        <w:rPr>
          <w:rFonts w:ascii="Garamond" w:hAnsi="Garamond"/>
          <w:bCs/>
          <w:sz w:val="24"/>
          <w:szCs w:val="24"/>
        </w:rPr>
        <w:t xml:space="preserve"> been around since the 1950s </w:t>
      </w:r>
      <w:r w:rsidR="00172F00">
        <w:rPr>
          <w:rFonts w:ascii="Garamond" w:hAnsi="Garamond"/>
          <w:bCs/>
          <w:sz w:val="24"/>
          <w:szCs w:val="24"/>
        </w:rPr>
        <w:t>and were thought through mostly in relation to socially responsible business practices. These methods were given renewed vigour by the environmental movement and civil society reactions to state corruption.</w:t>
      </w:r>
      <w:r w:rsidR="00172F00" w:rsidRPr="00172F00">
        <w:rPr>
          <w:rFonts w:ascii="Garamond" w:hAnsi="Garamond"/>
          <w:bCs/>
          <w:sz w:val="24"/>
          <w:szCs w:val="24"/>
        </w:rPr>
        <w:t xml:space="preserve"> </w:t>
      </w:r>
      <w:r w:rsidR="00172F00">
        <w:rPr>
          <w:rFonts w:ascii="Garamond" w:hAnsi="Garamond"/>
          <w:bCs/>
          <w:sz w:val="24"/>
          <w:szCs w:val="24"/>
        </w:rPr>
        <w:t>The c</w:t>
      </w:r>
      <w:r w:rsidR="00172F00" w:rsidRPr="00647965">
        <w:rPr>
          <w:rFonts w:ascii="Garamond" w:hAnsi="Garamond"/>
          <w:bCs/>
          <w:sz w:val="24"/>
          <w:szCs w:val="24"/>
        </w:rPr>
        <w:t>itizens’</w:t>
      </w:r>
      <w:r w:rsidR="00172F00">
        <w:rPr>
          <w:rFonts w:ascii="Garamond" w:hAnsi="Garamond"/>
          <w:bCs/>
          <w:sz w:val="24"/>
          <w:szCs w:val="24"/>
        </w:rPr>
        <w:t xml:space="preserve"> </w:t>
      </w:r>
      <w:r w:rsidR="00172F00" w:rsidRPr="00647965">
        <w:rPr>
          <w:rFonts w:ascii="Garamond" w:hAnsi="Garamond"/>
          <w:bCs/>
          <w:sz w:val="24"/>
          <w:szCs w:val="24"/>
        </w:rPr>
        <w:t xml:space="preserve">assessments of education outcomes are </w:t>
      </w:r>
      <w:r w:rsidR="00172F00">
        <w:rPr>
          <w:rFonts w:ascii="Garamond" w:hAnsi="Garamond"/>
          <w:bCs/>
          <w:sz w:val="24"/>
          <w:szCs w:val="24"/>
        </w:rPr>
        <w:t>a relatively new application of this</w:t>
      </w:r>
      <w:r w:rsidR="00172F00" w:rsidRPr="00647965">
        <w:rPr>
          <w:rFonts w:ascii="Garamond" w:hAnsi="Garamond"/>
          <w:bCs/>
          <w:sz w:val="24"/>
          <w:szCs w:val="24"/>
        </w:rPr>
        <w:t xml:space="preserve"> </w:t>
      </w:r>
      <w:r w:rsidR="00172F00">
        <w:rPr>
          <w:rFonts w:ascii="Garamond" w:hAnsi="Garamond"/>
          <w:bCs/>
          <w:sz w:val="24"/>
          <w:szCs w:val="24"/>
        </w:rPr>
        <w:t xml:space="preserve">tool for influencing public policy on education and education outcomes, </w:t>
      </w:r>
      <w:r w:rsidR="00944425">
        <w:rPr>
          <w:rFonts w:ascii="Garamond" w:hAnsi="Garamond"/>
          <w:bCs/>
          <w:sz w:val="24"/>
          <w:szCs w:val="24"/>
        </w:rPr>
        <w:t>which</w:t>
      </w:r>
      <w:r w:rsidR="00172F00">
        <w:rPr>
          <w:rFonts w:ascii="Garamond" w:hAnsi="Garamond"/>
          <w:bCs/>
          <w:sz w:val="24"/>
          <w:szCs w:val="24"/>
        </w:rPr>
        <w:t xml:space="preserve"> were developed initially by </w:t>
      </w:r>
      <w:proofErr w:type="spellStart"/>
      <w:r w:rsidR="00172F00">
        <w:rPr>
          <w:rFonts w:ascii="Garamond" w:hAnsi="Garamond"/>
          <w:bCs/>
          <w:sz w:val="24"/>
          <w:szCs w:val="24"/>
        </w:rPr>
        <w:t>Pratham</w:t>
      </w:r>
      <w:proofErr w:type="spellEnd"/>
      <w:r w:rsidR="00172F00">
        <w:rPr>
          <w:rFonts w:ascii="Garamond" w:hAnsi="Garamond"/>
          <w:bCs/>
          <w:sz w:val="24"/>
          <w:szCs w:val="24"/>
        </w:rPr>
        <w:t xml:space="preserve"> in India and funded by Hewlett.</w:t>
      </w:r>
    </w:p>
    <w:p w14:paraId="111579D1" w14:textId="6C763166" w:rsidR="004C3F29" w:rsidRPr="004C3F29" w:rsidRDefault="0029542A" w:rsidP="00BB39E9">
      <w:pPr>
        <w:spacing w:before="0" w:line="276" w:lineRule="auto"/>
        <w:rPr>
          <w:rFonts w:ascii="Garamond" w:hAnsi="Garamond"/>
          <w:b/>
          <w:bCs/>
          <w:i/>
          <w:sz w:val="24"/>
          <w:szCs w:val="24"/>
          <w:lang w:val="en-US"/>
        </w:rPr>
      </w:pPr>
      <w:r w:rsidRPr="0029542A">
        <w:rPr>
          <w:rFonts w:ascii="Garamond" w:hAnsi="Garamond"/>
          <w:bCs/>
          <w:sz w:val="24"/>
          <w:szCs w:val="24"/>
        </w:rPr>
        <w:t xml:space="preserve">The </w:t>
      </w:r>
      <w:r w:rsidR="009F5E6D" w:rsidRPr="00501465">
        <w:rPr>
          <w:rFonts w:ascii="Garamond" w:hAnsi="Garamond"/>
          <w:bCs/>
          <w:sz w:val="24"/>
          <w:szCs w:val="24"/>
          <w:u w:val="single"/>
        </w:rPr>
        <w:t>Pakistan: Annual Status of Education Report (ASER</w:t>
      </w:r>
      <w:r>
        <w:rPr>
          <w:rFonts w:ascii="Garamond" w:hAnsi="Garamond"/>
          <w:bCs/>
          <w:sz w:val="24"/>
          <w:szCs w:val="24"/>
        </w:rPr>
        <w:t>)</w:t>
      </w:r>
      <w:r w:rsidRPr="0029542A">
        <w:rPr>
          <w:rFonts w:ascii="Garamond" w:hAnsi="Garamond"/>
          <w:bCs/>
          <w:sz w:val="24"/>
          <w:szCs w:val="24"/>
        </w:rPr>
        <w:t xml:space="preserve"> is an enormous</w:t>
      </w:r>
      <w:r>
        <w:rPr>
          <w:rFonts w:ascii="Garamond" w:hAnsi="Garamond"/>
          <w:bCs/>
          <w:sz w:val="24"/>
          <w:szCs w:val="24"/>
        </w:rPr>
        <w:t xml:space="preserve"> logistical </w:t>
      </w:r>
      <w:r w:rsidRPr="0029542A">
        <w:rPr>
          <w:rFonts w:ascii="Garamond" w:hAnsi="Garamond"/>
          <w:bCs/>
          <w:sz w:val="24"/>
          <w:szCs w:val="24"/>
        </w:rPr>
        <w:t xml:space="preserve">operation. </w:t>
      </w:r>
      <w:r w:rsidR="006B1343">
        <w:rPr>
          <w:rFonts w:ascii="Garamond" w:hAnsi="Garamond"/>
          <w:bCs/>
          <w:sz w:val="24"/>
          <w:szCs w:val="24"/>
          <w:lang w:val="en-US"/>
        </w:rPr>
        <w:t>This year</w:t>
      </w:r>
      <w:r w:rsidR="004C3F29" w:rsidRPr="004C3F29">
        <w:rPr>
          <w:rFonts w:ascii="Garamond" w:hAnsi="Garamond"/>
          <w:bCs/>
          <w:sz w:val="24"/>
          <w:szCs w:val="24"/>
          <w:lang w:val="en-US"/>
        </w:rPr>
        <w:t xml:space="preserve"> </w:t>
      </w:r>
      <w:r>
        <w:rPr>
          <w:rFonts w:ascii="Garamond" w:hAnsi="Garamond"/>
          <w:bCs/>
          <w:sz w:val="24"/>
          <w:szCs w:val="24"/>
          <w:lang w:val="en-US"/>
        </w:rPr>
        <w:t xml:space="preserve">it covered 144 </w:t>
      </w:r>
      <w:proofErr w:type="gramStart"/>
      <w:r>
        <w:rPr>
          <w:rFonts w:ascii="Garamond" w:hAnsi="Garamond"/>
          <w:bCs/>
          <w:sz w:val="24"/>
          <w:szCs w:val="24"/>
          <w:lang w:val="en-US"/>
        </w:rPr>
        <w:t>rural</w:t>
      </w:r>
      <w:r w:rsidR="006B1343">
        <w:rPr>
          <w:rFonts w:ascii="Garamond" w:hAnsi="Garamond"/>
          <w:bCs/>
          <w:sz w:val="24"/>
          <w:szCs w:val="24"/>
          <w:lang w:val="en-US"/>
        </w:rPr>
        <w:t>,</w:t>
      </w:r>
      <w:proofErr w:type="gramEnd"/>
      <w:r>
        <w:rPr>
          <w:rFonts w:ascii="Garamond" w:hAnsi="Garamond"/>
          <w:bCs/>
          <w:sz w:val="24"/>
          <w:szCs w:val="24"/>
          <w:lang w:val="en-US"/>
        </w:rPr>
        <w:t xml:space="preserve"> and </w:t>
      </w:r>
      <w:r w:rsidR="004C3F29" w:rsidRPr="004C3F29">
        <w:rPr>
          <w:rFonts w:ascii="Garamond" w:hAnsi="Garamond"/>
          <w:bCs/>
          <w:sz w:val="24"/>
          <w:szCs w:val="24"/>
          <w:lang w:val="en-US"/>
        </w:rPr>
        <w:t>21 urban</w:t>
      </w:r>
      <w:r w:rsidR="006B1343">
        <w:rPr>
          <w:rFonts w:ascii="Garamond" w:hAnsi="Garamond"/>
          <w:bCs/>
          <w:sz w:val="24"/>
          <w:szCs w:val="24"/>
          <w:lang w:val="en-US"/>
        </w:rPr>
        <w:t>,</w:t>
      </w:r>
      <w:r w:rsidR="004C3F29" w:rsidRPr="004C3F29">
        <w:rPr>
          <w:rFonts w:ascii="Garamond" w:hAnsi="Garamond"/>
          <w:bCs/>
          <w:sz w:val="24"/>
          <w:szCs w:val="24"/>
          <w:lang w:val="en-US"/>
        </w:rPr>
        <w:t xml:space="preserve"> districts across Pakistan. </w:t>
      </w:r>
      <w:r w:rsidR="006B1343">
        <w:rPr>
          <w:rFonts w:ascii="Garamond" w:hAnsi="Garamond"/>
          <w:bCs/>
          <w:sz w:val="24"/>
          <w:szCs w:val="24"/>
          <w:lang w:val="en-US"/>
        </w:rPr>
        <w:t>The sample includes</w:t>
      </w:r>
      <w:r>
        <w:rPr>
          <w:rFonts w:ascii="Garamond" w:hAnsi="Garamond"/>
          <w:bCs/>
          <w:sz w:val="24"/>
          <w:szCs w:val="24"/>
          <w:lang w:val="en-US"/>
        </w:rPr>
        <w:t xml:space="preserve"> data</w:t>
      </w:r>
      <w:r w:rsidR="004C3F29" w:rsidRPr="004C3F29">
        <w:rPr>
          <w:rFonts w:ascii="Garamond" w:hAnsi="Garamond"/>
          <w:bCs/>
          <w:sz w:val="24"/>
          <w:szCs w:val="24"/>
          <w:lang w:val="en-US"/>
        </w:rPr>
        <w:t xml:space="preserve"> on 279,427 children of age 3-16 from 4698 villages/ blocks and 93,093 households</w:t>
      </w:r>
      <w:r w:rsidR="00BB39E9">
        <w:rPr>
          <w:rFonts w:ascii="Garamond" w:hAnsi="Garamond"/>
          <w:bCs/>
          <w:sz w:val="24"/>
          <w:szCs w:val="24"/>
          <w:lang w:val="en-US"/>
        </w:rPr>
        <w:t xml:space="preserve"> that</w:t>
      </w:r>
      <w:r w:rsidR="004C3F29" w:rsidRPr="004C3F29">
        <w:rPr>
          <w:rFonts w:ascii="Garamond" w:hAnsi="Garamond"/>
          <w:bCs/>
          <w:sz w:val="24"/>
          <w:szCs w:val="24"/>
          <w:lang w:val="en-US"/>
        </w:rPr>
        <w:t xml:space="preserve"> </w:t>
      </w:r>
      <w:proofErr w:type="gramStart"/>
      <w:r w:rsidR="004C3F29" w:rsidRPr="004C3F29">
        <w:rPr>
          <w:rFonts w:ascii="Garamond" w:hAnsi="Garamond"/>
          <w:bCs/>
          <w:sz w:val="24"/>
          <w:szCs w:val="24"/>
          <w:lang w:val="en-US"/>
        </w:rPr>
        <w:t>was</w:t>
      </w:r>
      <w:proofErr w:type="gramEnd"/>
      <w:r w:rsidR="004C3F29" w:rsidRPr="004C3F29">
        <w:rPr>
          <w:rFonts w:ascii="Garamond" w:hAnsi="Garamond"/>
          <w:bCs/>
          <w:sz w:val="24"/>
          <w:szCs w:val="24"/>
          <w:lang w:val="en-US"/>
        </w:rPr>
        <w:t xml:space="preserve"> collected with </w:t>
      </w:r>
      <w:r>
        <w:rPr>
          <w:rFonts w:ascii="Garamond" w:hAnsi="Garamond"/>
          <w:bCs/>
          <w:sz w:val="24"/>
          <w:szCs w:val="24"/>
          <w:lang w:val="en-US"/>
        </w:rPr>
        <w:t xml:space="preserve">the help of 10,000 volunteers. </w:t>
      </w:r>
    </w:p>
    <w:p w14:paraId="0CE8933C" w14:textId="4245ADAD" w:rsidR="006E0B9D" w:rsidRDefault="004C3F29" w:rsidP="00BB39E9">
      <w:pPr>
        <w:spacing w:before="0" w:line="276" w:lineRule="auto"/>
        <w:rPr>
          <w:rFonts w:ascii="Garamond" w:hAnsi="Garamond"/>
          <w:bCs/>
          <w:sz w:val="24"/>
          <w:szCs w:val="24"/>
          <w:lang w:val="en-US"/>
        </w:rPr>
      </w:pPr>
      <w:r w:rsidRPr="004C3F29">
        <w:rPr>
          <w:rFonts w:ascii="Garamond" w:hAnsi="Garamond"/>
          <w:bCs/>
          <w:sz w:val="24"/>
          <w:szCs w:val="24"/>
          <w:lang w:val="en-US"/>
        </w:rPr>
        <w:t>ASER</w:t>
      </w:r>
      <w:r w:rsidR="00BE4B9E">
        <w:rPr>
          <w:rFonts w:ascii="Garamond" w:hAnsi="Garamond"/>
          <w:bCs/>
          <w:sz w:val="24"/>
          <w:szCs w:val="24"/>
          <w:lang w:val="en-US"/>
        </w:rPr>
        <w:t>’s</w:t>
      </w:r>
      <w:r w:rsidRPr="004C3F29">
        <w:rPr>
          <w:rFonts w:ascii="Garamond" w:hAnsi="Garamond"/>
          <w:bCs/>
          <w:sz w:val="24"/>
          <w:szCs w:val="24"/>
          <w:lang w:val="en-US"/>
        </w:rPr>
        <w:t xml:space="preserve"> </w:t>
      </w:r>
      <w:r w:rsidR="0029542A">
        <w:rPr>
          <w:rFonts w:ascii="Garamond" w:hAnsi="Garamond"/>
          <w:bCs/>
          <w:sz w:val="24"/>
          <w:szCs w:val="24"/>
          <w:lang w:val="en-US"/>
        </w:rPr>
        <w:t>stated intentions are to</w:t>
      </w:r>
      <w:r w:rsidRPr="004C3F29">
        <w:rPr>
          <w:rFonts w:ascii="Garamond" w:hAnsi="Garamond"/>
          <w:bCs/>
          <w:sz w:val="24"/>
          <w:szCs w:val="24"/>
          <w:lang w:val="en-US"/>
        </w:rPr>
        <w:t xml:space="preserve"> </w:t>
      </w:r>
      <w:r w:rsidR="00944425" w:rsidRPr="004C3F29">
        <w:rPr>
          <w:rFonts w:ascii="Garamond" w:hAnsi="Garamond"/>
          <w:bCs/>
          <w:sz w:val="24"/>
          <w:szCs w:val="24"/>
          <w:lang w:val="en-US"/>
        </w:rPr>
        <w:t>mobiliz</w:t>
      </w:r>
      <w:r w:rsidR="00944425">
        <w:rPr>
          <w:rFonts w:ascii="Garamond" w:hAnsi="Garamond"/>
          <w:bCs/>
          <w:sz w:val="24"/>
          <w:szCs w:val="24"/>
          <w:lang w:val="en-US"/>
        </w:rPr>
        <w:t>e</w:t>
      </w:r>
      <w:r w:rsidR="00944425" w:rsidRPr="004C3F29">
        <w:rPr>
          <w:rFonts w:ascii="Garamond" w:hAnsi="Garamond"/>
          <w:bCs/>
          <w:sz w:val="24"/>
          <w:szCs w:val="24"/>
          <w:lang w:val="en-US"/>
        </w:rPr>
        <w:t xml:space="preserve"> </w:t>
      </w:r>
      <w:r w:rsidRPr="004C3F29">
        <w:rPr>
          <w:rFonts w:ascii="Garamond" w:hAnsi="Garamond"/>
          <w:bCs/>
          <w:sz w:val="24"/>
          <w:szCs w:val="24"/>
          <w:lang w:val="en-US"/>
        </w:rPr>
        <w:t xml:space="preserve">government and citizens </w:t>
      </w:r>
      <w:r w:rsidR="0029542A">
        <w:rPr>
          <w:rFonts w:ascii="Garamond" w:hAnsi="Garamond"/>
          <w:bCs/>
          <w:sz w:val="24"/>
          <w:szCs w:val="24"/>
          <w:lang w:val="en-US"/>
        </w:rPr>
        <w:t xml:space="preserve">to </w:t>
      </w:r>
      <w:r w:rsidRPr="004C3F29">
        <w:rPr>
          <w:rFonts w:ascii="Garamond" w:hAnsi="Garamond"/>
          <w:bCs/>
          <w:sz w:val="24"/>
          <w:szCs w:val="24"/>
          <w:lang w:val="en-US"/>
        </w:rPr>
        <w:t>take action to improve the quality of education.</w:t>
      </w:r>
      <w:r w:rsidR="0029542A">
        <w:rPr>
          <w:rFonts w:ascii="Garamond" w:hAnsi="Garamond"/>
          <w:bCs/>
          <w:sz w:val="24"/>
          <w:szCs w:val="24"/>
          <w:lang w:val="en-US"/>
        </w:rPr>
        <w:t xml:space="preserve"> ESP and OSF-Pakistan are particularly interest</w:t>
      </w:r>
      <w:r w:rsidR="00944425">
        <w:rPr>
          <w:rFonts w:ascii="Garamond" w:hAnsi="Garamond"/>
          <w:bCs/>
          <w:sz w:val="24"/>
          <w:szCs w:val="24"/>
          <w:lang w:val="en-US"/>
        </w:rPr>
        <w:t>ed</w:t>
      </w:r>
      <w:r w:rsidR="0029542A">
        <w:rPr>
          <w:rFonts w:ascii="Garamond" w:hAnsi="Garamond"/>
          <w:bCs/>
          <w:sz w:val="24"/>
          <w:szCs w:val="24"/>
          <w:lang w:val="en-US"/>
        </w:rPr>
        <w:t xml:space="preserve"> in the potential of </w:t>
      </w:r>
      <w:r w:rsidR="0029542A" w:rsidRPr="0029542A">
        <w:rPr>
          <w:rFonts w:ascii="Garamond" w:hAnsi="Garamond"/>
          <w:bCs/>
          <w:i/>
          <w:sz w:val="24"/>
          <w:szCs w:val="24"/>
          <w:lang w:val="en-US"/>
        </w:rPr>
        <w:t xml:space="preserve">village </w:t>
      </w:r>
      <w:proofErr w:type="spellStart"/>
      <w:r w:rsidR="0029542A" w:rsidRPr="0029542A">
        <w:rPr>
          <w:rFonts w:ascii="Garamond" w:hAnsi="Garamond"/>
          <w:bCs/>
          <w:i/>
          <w:sz w:val="24"/>
          <w:szCs w:val="24"/>
          <w:lang w:val="en-US"/>
        </w:rPr>
        <w:t>b</w:t>
      </w:r>
      <w:r w:rsidRPr="0029542A">
        <w:rPr>
          <w:rFonts w:ascii="Garamond" w:hAnsi="Garamond"/>
          <w:bCs/>
          <w:i/>
          <w:sz w:val="24"/>
          <w:szCs w:val="24"/>
          <w:lang w:val="en-US"/>
        </w:rPr>
        <w:t>aithaks</w:t>
      </w:r>
      <w:proofErr w:type="spellEnd"/>
      <w:r w:rsidRPr="004C3F29">
        <w:rPr>
          <w:rFonts w:ascii="Garamond" w:hAnsi="Garamond"/>
          <w:bCs/>
          <w:sz w:val="24"/>
          <w:szCs w:val="24"/>
          <w:lang w:val="en-US"/>
        </w:rPr>
        <w:t xml:space="preserve"> (</w:t>
      </w:r>
      <w:r w:rsidR="0029542A">
        <w:rPr>
          <w:rFonts w:ascii="Garamond" w:hAnsi="Garamond"/>
          <w:bCs/>
          <w:sz w:val="24"/>
          <w:szCs w:val="24"/>
          <w:lang w:val="en-US"/>
        </w:rPr>
        <w:t xml:space="preserve">community </w:t>
      </w:r>
      <w:r w:rsidRPr="004C3F29">
        <w:rPr>
          <w:rFonts w:ascii="Garamond" w:hAnsi="Garamond"/>
          <w:bCs/>
          <w:sz w:val="24"/>
          <w:szCs w:val="24"/>
          <w:lang w:val="en-US"/>
        </w:rPr>
        <w:t>discussions</w:t>
      </w:r>
      <w:r w:rsidR="0029542A">
        <w:rPr>
          <w:rFonts w:ascii="Garamond" w:hAnsi="Garamond"/>
          <w:bCs/>
          <w:sz w:val="24"/>
          <w:szCs w:val="24"/>
          <w:lang w:val="en-US"/>
        </w:rPr>
        <w:t>)</w:t>
      </w:r>
      <w:r w:rsidRPr="004C3F29">
        <w:rPr>
          <w:rFonts w:ascii="Garamond" w:hAnsi="Garamond"/>
          <w:bCs/>
          <w:sz w:val="24"/>
          <w:szCs w:val="24"/>
          <w:lang w:val="en-US"/>
        </w:rPr>
        <w:t xml:space="preserve"> </w:t>
      </w:r>
      <w:r w:rsidR="006E0B9D">
        <w:rPr>
          <w:rFonts w:ascii="Garamond" w:hAnsi="Garamond"/>
          <w:bCs/>
          <w:sz w:val="24"/>
          <w:szCs w:val="24"/>
          <w:lang w:val="en-US"/>
        </w:rPr>
        <w:t>to deepen democratic participation and inform parents better and to hold local po</w:t>
      </w:r>
      <w:r w:rsidR="00BB39E9">
        <w:rPr>
          <w:rFonts w:ascii="Garamond" w:hAnsi="Garamond"/>
          <w:bCs/>
          <w:sz w:val="24"/>
          <w:szCs w:val="24"/>
          <w:lang w:val="en-US"/>
        </w:rPr>
        <w:t>liticians to account. ASER is frequently quoted in</w:t>
      </w:r>
      <w:r w:rsidRPr="004C3F29">
        <w:rPr>
          <w:rFonts w:ascii="Garamond" w:hAnsi="Garamond"/>
          <w:bCs/>
          <w:sz w:val="24"/>
          <w:szCs w:val="24"/>
          <w:lang w:val="en-US"/>
        </w:rPr>
        <w:t xml:space="preserve"> gov</w:t>
      </w:r>
      <w:r w:rsidR="00BB39E9">
        <w:rPr>
          <w:rFonts w:ascii="Garamond" w:hAnsi="Garamond"/>
          <w:bCs/>
          <w:sz w:val="24"/>
          <w:szCs w:val="24"/>
          <w:lang w:val="en-US"/>
        </w:rPr>
        <w:t xml:space="preserve">ernment documents and </w:t>
      </w:r>
      <w:r w:rsidRPr="004C3F29">
        <w:rPr>
          <w:rFonts w:ascii="Garamond" w:hAnsi="Garamond"/>
          <w:bCs/>
          <w:sz w:val="24"/>
          <w:szCs w:val="24"/>
          <w:lang w:val="en-US"/>
        </w:rPr>
        <w:t xml:space="preserve">sector analyses both </w:t>
      </w:r>
      <w:r w:rsidR="006E0B9D">
        <w:rPr>
          <w:rFonts w:ascii="Garamond" w:hAnsi="Garamond"/>
          <w:bCs/>
          <w:sz w:val="24"/>
          <w:szCs w:val="24"/>
          <w:lang w:val="en-US"/>
        </w:rPr>
        <w:t>within and outside of Pakistan</w:t>
      </w:r>
      <w:r w:rsidR="00BB39E9">
        <w:rPr>
          <w:rFonts w:ascii="Garamond" w:hAnsi="Garamond"/>
          <w:bCs/>
          <w:sz w:val="24"/>
          <w:szCs w:val="24"/>
          <w:lang w:val="en-US"/>
        </w:rPr>
        <w:t>;</w:t>
      </w:r>
      <w:r w:rsidR="006E0B9D">
        <w:rPr>
          <w:rFonts w:ascii="Garamond" w:hAnsi="Garamond"/>
          <w:bCs/>
          <w:sz w:val="24"/>
          <w:szCs w:val="24"/>
          <w:lang w:val="en-US"/>
        </w:rPr>
        <w:t xml:space="preserve"> they are widely regarded to be one of the most prominent examples of citizens</w:t>
      </w:r>
      <w:r w:rsidR="0039427E">
        <w:rPr>
          <w:rFonts w:ascii="Garamond" w:hAnsi="Garamond"/>
          <w:bCs/>
          <w:sz w:val="24"/>
          <w:szCs w:val="24"/>
          <w:lang w:val="en-US"/>
        </w:rPr>
        <w:t>’</w:t>
      </w:r>
      <w:r w:rsidR="006E0B9D">
        <w:rPr>
          <w:rFonts w:ascii="Garamond" w:hAnsi="Garamond"/>
          <w:bCs/>
          <w:sz w:val="24"/>
          <w:szCs w:val="24"/>
          <w:lang w:val="en-US"/>
        </w:rPr>
        <w:t xml:space="preserve"> engagement in education. </w:t>
      </w:r>
    </w:p>
    <w:p w14:paraId="4268095D" w14:textId="7DFE8932" w:rsidR="00C027EE" w:rsidRPr="004C3F29" w:rsidRDefault="006E0B9D" w:rsidP="00BB39E9">
      <w:pPr>
        <w:spacing w:before="0" w:line="276" w:lineRule="auto"/>
        <w:rPr>
          <w:rFonts w:ascii="Garamond" w:hAnsi="Garamond"/>
          <w:bCs/>
          <w:sz w:val="24"/>
          <w:szCs w:val="24"/>
          <w:lang w:val="en-US"/>
        </w:rPr>
      </w:pPr>
      <w:r>
        <w:rPr>
          <w:rFonts w:ascii="Garamond" w:hAnsi="Garamond"/>
          <w:bCs/>
          <w:sz w:val="24"/>
          <w:szCs w:val="24"/>
          <w:lang w:val="en-US"/>
        </w:rPr>
        <w:t xml:space="preserve">A recent evaluation ESP funded through R4D in Washington, however, points out that despite the numerous </w:t>
      </w:r>
      <w:r w:rsidR="00C027EE" w:rsidRPr="006E0B9D">
        <w:rPr>
          <w:rFonts w:ascii="Garamond" w:hAnsi="Garamond"/>
          <w:bCs/>
          <w:sz w:val="24"/>
          <w:szCs w:val="24"/>
          <w:lang w:val="en-US"/>
        </w:rPr>
        <w:t xml:space="preserve">citations of ASER Pakistan data, </w:t>
      </w:r>
      <w:r w:rsidRPr="006E0B9D">
        <w:rPr>
          <w:rFonts w:ascii="Garamond" w:hAnsi="Garamond"/>
          <w:bCs/>
          <w:sz w:val="24"/>
          <w:szCs w:val="24"/>
          <w:lang w:val="en-US"/>
        </w:rPr>
        <w:t>these is no</w:t>
      </w:r>
      <w:r w:rsidR="00C027EE" w:rsidRPr="006E0B9D">
        <w:rPr>
          <w:rFonts w:ascii="Garamond" w:hAnsi="Garamond"/>
          <w:bCs/>
          <w:sz w:val="24"/>
          <w:szCs w:val="24"/>
          <w:lang w:val="en-US"/>
        </w:rPr>
        <w:t xml:space="preserve"> causal evidence linking the use of ASER data to changes in education </w:t>
      </w:r>
      <w:r w:rsidRPr="006E0B9D">
        <w:rPr>
          <w:rFonts w:ascii="Garamond" w:hAnsi="Garamond"/>
          <w:bCs/>
          <w:sz w:val="24"/>
          <w:szCs w:val="24"/>
          <w:lang w:val="en-US"/>
        </w:rPr>
        <w:t>policies and planning processes. The evalua</w:t>
      </w:r>
      <w:r w:rsidR="00BB39E9">
        <w:rPr>
          <w:rFonts w:ascii="Garamond" w:hAnsi="Garamond"/>
          <w:bCs/>
          <w:sz w:val="24"/>
          <w:szCs w:val="24"/>
          <w:lang w:val="en-US"/>
        </w:rPr>
        <w:t xml:space="preserve">tion also points out that </w:t>
      </w:r>
      <w:r w:rsidRPr="006E0B9D">
        <w:rPr>
          <w:rFonts w:ascii="Garamond" w:hAnsi="Garamond"/>
          <w:bCs/>
          <w:sz w:val="24"/>
          <w:szCs w:val="24"/>
          <w:lang w:val="en-US"/>
        </w:rPr>
        <w:t xml:space="preserve">most of the effort by </w:t>
      </w:r>
      <w:proofErr w:type="spellStart"/>
      <w:r w:rsidRPr="006E0B9D">
        <w:rPr>
          <w:rFonts w:ascii="Garamond" w:hAnsi="Garamond"/>
          <w:i/>
          <w:sz w:val="24"/>
          <w:szCs w:val="24"/>
          <w:lang w:val="en-US"/>
        </w:rPr>
        <w:t>Idara</w:t>
      </w:r>
      <w:proofErr w:type="spellEnd"/>
      <w:r w:rsidRPr="006E0B9D">
        <w:rPr>
          <w:rFonts w:ascii="Garamond" w:hAnsi="Garamond"/>
          <w:bCs/>
          <w:i/>
          <w:sz w:val="24"/>
          <w:szCs w:val="24"/>
          <w:lang w:val="en-US"/>
        </w:rPr>
        <w:t>-</w:t>
      </w:r>
      <w:r w:rsidRPr="006E0B9D">
        <w:rPr>
          <w:rFonts w:ascii="Garamond" w:hAnsi="Garamond"/>
          <w:i/>
          <w:sz w:val="24"/>
          <w:szCs w:val="24"/>
          <w:lang w:val="en-US"/>
        </w:rPr>
        <w:t>e</w:t>
      </w:r>
      <w:r w:rsidRPr="006E0B9D">
        <w:rPr>
          <w:rFonts w:ascii="Garamond" w:hAnsi="Garamond"/>
          <w:bCs/>
          <w:i/>
          <w:sz w:val="24"/>
          <w:szCs w:val="24"/>
          <w:lang w:val="en-US"/>
        </w:rPr>
        <w:t>-</w:t>
      </w:r>
      <w:proofErr w:type="spellStart"/>
      <w:r w:rsidRPr="006E0B9D">
        <w:rPr>
          <w:rFonts w:ascii="Garamond" w:hAnsi="Garamond"/>
          <w:i/>
          <w:sz w:val="24"/>
          <w:szCs w:val="24"/>
          <w:lang w:val="en-US"/>
        </w:rPr>
        <w:t>Taleem</w:t>
      </w:r>
      <w:proofErr w:type="spellEnd"/>
      <w:r w:rsidRPr="006E0B9D">
        <w:rPr>
          <w:rFonts w:ascii="Garamond" w:hAnsi="Garamond"/>
          <w:bCs/>
          <w:i/>
          <w:sz w:val="24"/>
          <w:szCs w:val="24"/>
          <w:lang w:val="en-US"/>
        </w:rPr>
        <w:t>-</w:t>
      </w:r>
      <w:r w:rsidRPr="006E0B9D">
        <w:rPr>
          <w:rFonts w:ascii="Garamond" w:hAnsi="Garamond"/>
          <w:i/>
          <w:sz w:val="24"/>
          <w:szCs w:val="24"/>
          <w:lang w:val="en-US"/>
        </w:rPr>
        <w:t>o</w:t>
      </w:r>
      <w:r w:rsidRPr="006E0B9D">
        <w:rPr>
          <w:rFonts w:ascii="Garamond" w:hAnsi="Garamond"/>
          <w:bCs/>
          <w:i/>
          <w:sz w:val="24"/>
          <w:szCs w:val="24"/>
          <w:lang w:val="en-US"/>
        </w:rPr>
        <w:t>-</w:t>
      </w:r>
      <w:proofErr w:type="spellStart"/>
      <w:r w:rsidRPr="006E0B9D">
        <w:rPr>
          <w:rFonts w:ascii="Garamond" w:hAnsi="Garamond"/>
          <w:i/>
          <w:sz w:val="24"/>
          <w:szCs w:val="24"/>
          <w:lang w:val="en-US"/>
        </w:rPr>
        <w:t>Aagahi</w:t>
      </w:r>
      <w:proofErr w:type="spellEnd"/>
      <w:r w:rsidRPr="006E0B9D">
        <w:rPr>
          <w:rFonts w:ascii="Garamond" w:hAnsi="Garamond"/>
          <w:bCs/>
          <w:sz w:val="24"/>
          <w:szCs w:val="24"/>
          <w:lang w:val="en-US"/>
        </w:rPr>
        <w:t> (ITA)</w:t>
      </w:r>
      <w:r>
        <w:rPr>
          <w:rFonts w:ascii="Garamond" w:hAnsi="Garamond"/>
          <w:bCs/>
          <w:sz w:val="24"/>
          <w:szCs w:val="24"/>
          <w:lang w:val="en-US"/>
        </w:rPr>
        <w:t>,</w:t>
      </w:r>
      <w:r w:rsidRPr="006E0B9D">
        <w:rPr>
          <w:rFonts w:ascii="Garamond" w:hAnsi="Garamond"/>
          <w:bCs/>
          <w:sz w:val="24"/>
          <w:szCs w:val="24"/>
          <w:lang w:val="en-US"/>
        </w:rPr>
        <w:t xml:space="preserve"> the</w:t>
      </w:r>
      <w:r w:rsidR="00BB39E9">
        <w:rPr>
          <w:rFonts w:ascii="Garamond" w:hAnsi="Garamond"/>
          <w:bCs/>
          <w:sz w:val="24"/>
          <w:szCs w:val="24"/>
          <w:lang w:val="en-US"/>
        </w:rPr>
        <w:t xml:space="preserve"> </w:t>
      </w:r>
      <w:proofErr w:type="spellStart"/>
      <w:r w:rsidR="00BB39E9">
        <w:rPr>
          <w:rFonts w:ascii="Garamond" w:hAnsi="Garamond"/>
          <w:bCs/>
          <w:sz w:val="24"/>
          <w:szCs w:val="24"/>
          <w:lang w:val="en-US"/>
        </w:rPr>
        <w:t>organisation</w:t>
      </w:r>
      <w:proofErr w:type="spellEnd"/>
      <w:r w:rsidR="00BB39E9">
        <w:rPr>
          <w:rFonts w:ascii="Garamond" w:hAnsi="Garamond"/>
          <w:bCs/>
          <w:sz w:val="24"/>
          <w:szCs w:val="24"/>
          <w:lang w:val="en-US"/>
        </w:rPr>
        <w:t xml:space="preserve"> that conducts the survey</w:t>
      </w:r>
      <w:r>
        <w:rPr>
          <w:rFonts w:ascii="Garamond" w:hAnsi="Garamond"/>
          <w:bCs/>
          <w:sz w:val="24"/>
          <w:szCs w:val="24"/>
          <w:lang w:val="en-US"/>
        </w:rPr>
        <w:t>, is focused</w:t>
      </w:r>
      <w:r w:rsidR="00C027EE" w:rsidRPr="00C027EE">
        <w:rPr>
          <w:rFonts w:ascii="Garamond" w:hAnsi="Garamond"/>
          <w:bCs/>
          <w:sz w:val="24"/>
          <w:szCs w:val="24"/>
          <w:lang w:val="en-US"/>
        </w:rPr>
        <w:t xml:space="preserve"> at the policy </w:t>
      </w:r>
      <w:proofErr w:type="gramStart"/>
      <w:r w:rsidR="00C027EE" w:rsidRPr="00C027EE">
        <w:rPr>
          <w:rFonts w:ascii="Garamond" w:hAnsi="Garamond"/>
          <w:bCs/>
          <w:sz w:val="24"/>
          <w:szCs w:val="24"/>
          <w:lang w:val="en-US"/>
        </w:rPr>
        <w:t>level,</w:t>
      </w:r>
      <w:proofErr w:type="gramEnd"/>
      <w:r w:rsidR="00BB39E9">
        <w:rPr>
          <w:rFonts w:ascii="Garamond" w:hAnsi="Garamond"/>
          <w:bCs/>
          <w:sz w:val="24"/>
          <w:szCs w:val="24"/>
          <w:lang w:val="en-US"/>
        </w:rPr>
        <w:t xml:space="preserve"> there is</w:t>
      </w:r>
      <w:r>
        <w:rPr>
          <w:rFonts w:ascii="Garamond" w:hAnsi="Garamond"/>
          <w:bCs/>
          <w:sz w:val="24"/>
          <w:szCs w:val="24"/>
          <w:lang w:val="en-US"/>
        </w:rPr>
        <w:t xml:space="preserve"> </w:t>
      </w:r>
      <w:r w:rsidR="00BB39E9">
        <w:rPr>
          <w:rFonts w:ascii="Garamond" w:hAnsi="Garamond"/>
          <w:bCs/>
          <w:sz w:val="24"/>
          <w:szCs w:val="24"/>
          <w:lang w:val="en-US"/>
        </w:rPr>
        <w:t xml:space="preserve">little </w:t>
      </w:r>
      <w:r w:rsidR="00C027EE" w:rsidRPr="00C027EE">
        <w:rPr>
          <w:rFonts w:ascii="Garamond" w:hAnsi="Garamond"/>
          <w:bCs/>
          <w:sz w:val="24"/>
          <w:szCs w:val="24"/>
          <w:lang w:val="en-US"/>
        </w:rPr>
        <w:t xml:space="preserve">focus on the community level. </w:t>
      </w:r>
      <w:r w:rsidR="00BB39E9">
        <w:rPr>
          <w:rFonts w:ascii="Garamond" w:hAnsi="Garamond"/>
          <w:bCs/>
          <w:sz w:val="24"/>
          <w:szCs w:val="24"/>
          <w:lang w:val="en-US"/>
        </w:rPr>
        <w:t xml:space="preserve">The evaluation </w:t>
      </w:r>
      <w:r w:rsidR="00BB39E9">
        <w:rPr>
          <w:rFonts w:ascii="Garamond" w:hAnsi="Garamond"/>
          <w:bCs/>
          <w:sz w:val="24"/>
          <w:szCs w:val="24"/>
          <w:lang w:val="en-US"/>
        </w:rPr>
        <w:lastRenderedPageBreak/>
        <w:t xml:space="preserve">also </w:t>
      </w:r>
      <w:r>
        <w:rPr>
          <w:rFonts w:ascii="Garamond" w:hAnsi="Garamond"/>
          <w:bCs/>
          <w:sz w:val="24"/>
          <w:szCs w:val="24"/>
          <w:lang w:val="en-US"/>
        </w:rPr>
        <w:t>finds that i</w:t>
      </w:r>
      <w:r w:rsidR="00C027EE" w:rsidRPr="00C027EE">
        <w:rPr>
          <w:rFonts w:ascii="Garamond" w:hAnsi="Garamond"/>
          <w:bCs/>
          <w:sz w:val="24"/>
          <w:szCs w:val="24"/>
          <w:lang w:val="en-US"/>
        </w:rPr>
        <w:t xml:space="preserve">nitial efforts to engage communities through </w:t>
      </w:r>
      <w:proofErr w:type="spellStart"/>
      <w:r w:rsidR="00C027EE" w:rsidRPr="00C027EE">
        <w:rPr>
          <w:rFonts w:ascii="Garamond" w:hAnsi="Garamond"/>
          <w:bCs/>
          <w:i/>
          <w:iCs/>
          <w:sz w:val="24"/>
          <w:szCs w:val="24"/>
          <w:lang w:val="en-US"/>
        </w:rPr>
        <w:t>bhaitaks</w:t>
      </w:r>
      <w:proofErr w:type="spellEnd"/>
      <w:r w:rsidR="00C027EE" w:rsidRPr="00C027EE">
        <w:rPr>
          <w:rFonts w:ascii="Garamond" w:hAnsi="Garamond"/>
          <w:bCs/>
          <w:i/>
          <w:iCs/>
          <w:sz w:val="24"/>
          <w:szCs w:val="24"/>
          <w:lang w:val="en-US"/>
        </w:rPr>
        <w:t xml:space="preserve"> </w:t>
      </w:r>
      <w:r w:rsidR="00C027EE" w:rsidRPr="00C027EE">
        <w:rPr>
          <w:rFonts w:ascii="Garamond" w:hAnsi="Garamond"/>
          <w:bCs/>
          <w:sz w:val="24"/>
          <w:szCs w:val="24"/>
          <w:lang w:val="en-US"/>
        </w:rPr>
        <w:t>have</w:t>
      </w:r>
      <w:r>
        <w:rPr>
          <w:rFonts w:ascii="Garamond" w:hAnsi="Garamond"/>
          <w:bCs/>
          <w:sz w:val="24"/>
          <w:szCs w:val="24"/>
          <w:lang w:val="en-US"/>
        </w:rPr>
        <w:t xml:space="preserve"> </w:t>
      </w:r>
      <w:r w:rsidR="00C027EE" w:rsidRPr="00C027EE">
        <w:rPr>
          <w:rFonts w:ascii="Garamond" w:hAnsi="Garamond"/>
          <w:bCs/>
          <w:sz w:val="24"/>
          <w:szCs w:val="24"/>
          <w:lang w:val="en-US"/>
        </w:rPr>
        <w:t xml:space="preserve">not </w:t>
      </w:r>
      <w:r w:rsidR="00944425">
        <w:rPr>
          <w:rFonts w:ascii="Garamond" w:hAnsi="Garamond"/>
          <w:bCs/>
          <w:sz w:val="24"/>
          <w:szCs w:val="24"/>
          <w:lang w:val="en-US"/>
        </w:rPr>
        <w:t xml:space="preserve">been </w:t>
      </w:r>
      <w:r w:rsidR="00C027EE" w:rsidRPr="00C027EE">
        <w:rPr>
          <w:rFonts w:ascii="Garamond" w:hAnsi="Garamond"/>
          <w:bCs/>
          <w:sz w:val="24"/>
          <w:szCs w:val="24"/>
          <w:lang w:val="en-US"/>
        </w:rPr>
        <w:t xml:space="preserve">shown to generate awareness or action at the community </w:t>
      </w:r>
      <w:proofErr w:type="gramStart"/>
      <w:r w:rsidR="00C027EE" w:rsidRPr="00C027EE">
        <w:rPr>
          <w:rFonts w:ascii="Garamond" w:hAnsi="Garamond"/>
          <w:bCs/>
          <w:sz w:val="24"/>
          <w:szCs w:val="24"/>
          <w:lang w:val="en-US"/>
        </w:rPr>
        <w:t>level</w:t>
      </w:r>
      <w:r>
        <w:rPr>
          <w:rFonts w:ascii="Garamond" w:hAnsi="Garamond"/>
          <w:bCs/>
          <w:sz w:val="24"/>
          <w:szCs w:val="24"/>
          <w:lang w:val="en-US"/>
        </w:rPr>
        <w:t>,</w:t>
      </w:r>
      <w:proofErr w:type="gramEnd"/>
      <w:r>
        <w:rPr>
          <w:rFonts w:ascii="Garamond" w:hAnsi="Garamond"/>
          <w:bCs/>
          <w:sz w:val="24"/>
          <w:szCs w:val="24"/>
          <w:lang w:val="en-US"/>
        </w:rPr>
        <w:t xml:space="preserve"> it recommends that </w:t>
      </w:r>
      <w:r w:rsidR="00C027EE" w:rsidRPr="00C027EE">
        <w:rPr>
          <w:rFonts w:ascii="Garamond" w:hAnsi="Garamond"/>
          <w:bCs/>
          <w:sz w:val="24"/>
          <w:szCs w:val="24"/>
          <w:lang w:val="en-US"/>
        </w:rPr>
        <w:t>ITA and supporters of ASER Pakistan should consider pursuing a concerted focus on deeper community engag</w:t>
      </w:r>
      <w:r w:rsidR="00FC6FD3">
        <w:rPr>
          <w:rFonts w:ascii="Garamond" w:hAnsi="Garamond"/>
          <w:bCs/>
          <w:sz w:val="24"/>
          <w:szCs w:val="24"/>
          <w:lang w:val="en-US"/>
        </w:rPr>
        <w:t xml:space="preserve">ement. While </w:t>
      </w:r>
      <w:r w:rsidR="00944425">
        <w:rPr>
          <w:rFonts w:ascii="Garamond" w:hAnsi="Garamond"/>
          <w:bCs/>
          <w:sz w:val="24"/>
          <w:szCs w:val="24"/>
          <w:lang w:val="en-US"/>
        </w:rPr>
        <w:t xml:space="preserve">we </w:t>
      </w:r>
      <w:r w:rsidR="00FC6FD3">
        <w:rPr>
          <w:rFonts w:ascii="Garamond" w:hAnsi="Garamond"/>
          <w:bCs/>
          <w:sz w:val="24"/>
          <w:szCs w:val="24"/>
          <w:lang w:val="en-US"/>
        </w:rPr>
        <w:t xml:space="preserve">remain impressed with ASER’s clear abilities to organize and mobilize </w:t>
      </w:r>
      <w:r w:rsidR="00944425">
        <w:rPr>
          <w:rFonts w:ascii="Garamond" w:hAnsi="Garamond"/>
          <w:bCs/>
          <w:sz w:val="24"/>
          <w:szCs w:val="24"/>
          <w:lang w:val="en-US"/>
        </w:rPr>
        <w:t>citizens</w:t>
      </w:r>
      <w:r w:rsidR="00FC6FD3">
        <w:rPr>
          <w:rFonts w:ascii="Garamond" w:hAnsi="Garamond"/>
          <w:bCs/>
          <w:sz w:val="24"/>
          <w:szCs w:val="24"/>
          <w:lang w:val="en-US"/>
        </w:rPr>
        <w:t>, we feel instinctively that the evaluation findings are correct and there clearly is a dis</w:t>
      </w:r>
      <w:r w:rsidR="00BB39E9">
        <w:rPr>
          <w:rFonts w:ascii="Garamond" w:hAnsi="Garamond"/>
          <w:bCs/>
          <w:sz w:val="24"/>
          <w:szCs w:val="24"/>
          <w:lang w:val="en-US"/>
        </w:rPr>
        <w:t>cussion that needs to be had during</w:t>
      </w:r>
      <w:r w:rsidR="00FC6FD3">
        <w:rPr>
          <w:rFonts w:ascii="Garamond" w:hAnsi="Garamond"/>
          <w:bCs/>
          <w:sz w:val="24"/>
          <w:szCs w:val="24"/>
          <w:lang w:val="en-US"/>
        </w:rPr>
        <w:t xml:space="preserve"> ESP’s visit to Pakistan in December 2015. The evaluation also suggested that the survey should be hosted every other year, </w:t>
      </w:r>
      <w:r w:rsidR="00944425">
        <w:rPr>
          <w:rFonts w:ascii="Garamond" w:hAnsi="Garamond"/>
          <w:bCs/>
          <w:sz w:val="24"/>
          <w:szCs w:val="24"/>
          <w:lang w:val="en-US"/>
        </w:rPr>
        <w:t xml:space="preserve">which </w:t>
      </w:r>
      <w:r w:rsidR="00FC6FD3">
        <w:rPr>
          <w:rFonts w:ascii="Garamond" w:hAnsi="Garamond"/>
          <w:bCs/>
          <w:sz w:val="24"/>
          <w:szCs w:val="24"/>
          <w:lang w:val="en-US"/>
        </w:rPr>
        <w:t>would provide some respite from the Herculean effort of completing the survey annually and allow more time for reflection and building grassroots involvement.</w:t>
      </w:r>
    </w:p>
    <w:p w14:paraId="6BF6B382" w14:textId="1772C201" w:rsidR="00BE4B9E" w:rsidRDefault="00FC6FD3" w:rsidP="00BB39E9">
      <w:pPr>
        <w:spacing w:before="0" w:line="276" w:lineRule="auto"/>
        <w:rPr>
          <w:rFonts w:ascii="Garamond" w:hAnsi="Garamond"/>
          <w:bCs/>
          <w:sz w:val="24"/>
          <w:szCs w:val="24"/>
        </w:rPr>
      </w:pPr>
      <w:r>
        <w:rPr>
          <w:rFonts w:ascii="Garamond" w:hAnsi="Garamond"/>
          <w:bCs/>
          <w:sz w:val="24"/>
          <w:szCs w:val="24"/>
        </w:rPr>
        <w:t xml:space="preserve">ESP </w:t>
      </w:r>
      <w:r w:rsidR="005D5D2C">
        <w:rPr>
          <w:rFonts w:ascii="Garamond" w:hAnsi="Garamond"/>
          <w:bCs/>
          <w:sz w:val="24"/>
          <w:szCs w:val="24"/>
        </w:rPr>
        <w:t xml:space="preserve">was among the early funders of this work in East Africa after the spread of the ASER methodology from India.  We </w:t>
      </w:r>
      <w:r>
        <w:rPr>
          <w:rFonts w:ascii="Garamond" w:hAnsi="Garamond"/>
          <w:bCs/>
          <w:sz w:val="24"/>
          <w:szCs w:val="24"/>
        </w:rPr>
        <w:t xml:space="preserve">provided funding for </w:t>
      </w:r>
      <w:proofErr w:type="spellStart"/>
      <w:r>
        <w:rPr>
          <w:rFonts w:ascii="Garamond" w:hAnsi="Garamond"/>
          <w:bCs/>
          <w:sz w:val="24"/>
          <w:szCs w:val="24"/>
          <w:u w:val="single"/>
        </w:rPr>
        <w:t>Uwezo</w:t>
      </w:r>
      <w:proofErr w:type="spellEnd"/>
      <w:r w:rsidR="00BB39E9">
        <w:rPr>
          <w:rFonts w:ascii="Garamond" w:hAnsi="Garamond"/>
          <w:bCs/>
          <w:sz w:val="24"/>
          <w:szCs w:val="24"/>
        </w:rPr>
        <w:t>, the first citizen</w:t>
      </w:r>
      <w:r w:rsidRPr="00FC6FD3">
        <w:rPr>
          <w:rFonts w:ascii="Garamond" w:hAnsi="Garamond"/>
          <w:bCs/>
          <w:sz w:val="24"/>
          <w:szCs w:val="24"/>
        </w:rPr>
        <w:t>s</w:t>
      </w:r>
      <w:r w:rsidR="00BB39E9">
        <w:rPr>
          <w:rFonts w:ascii="Garamond" w:hAnsi="Garamond"/>
          <w:bCs/>
          <w:sz w:val="24"/>
          <w:szCs w:val="24"/>
        </w:rPr>
        <w:t>’</w:t>
      </w:r>
      <w:r>
        <w:rPr>
          <w:rFonts w:ascii="Garamond" w:hAnsi="Garamond"/>
          <w:bCs/>
          <w:sz w:val="24"/>
          <w:szCs w:val="24"/>
        </w:rPr>
        <w:t>-led</w:t>
      </w:r>
      <w:r w:rsidRPr="00FC6FD3">
        <w:rPr>
          <w:rFonts w:ascii="Garamond" w:hAnsi="Garamond"/>
          <w:bCs/>
          <w:sz w:val="24"/>
          <w:szCs w:val="24"/>
        </w:rPr>
        <w:t xml:space="preserve"> assessment in of education in Africa by the Kenyan organisation </w:t>
      </w:r>
      <w:proofErr w:type="spellStart"/>
      <w:r w:rsidRPr="00FC6FD3">
        <w:rPr>
          <w:rFonts w:ascii="Garamond" w:hAnsi="Garamond"/>
          <w:bCs/>
          <w:sz w:val="24"/>
          <w:szCs w:val="24"/>
        </w:rPr>
        <w:t>Twaweza</w:t>
      </w:r>
      <w:proofErr w:type="spellEnd"/>
      <w:r>
        <w:rPr>
          <w:rFonts w:ascii="Garamond" w:hAnsi="Garamond"/>
          <w:bCs/>
          <w:sz w:val="24"/>
          <w:szCs w:val="24"/>
        </w:rPr>
        <w:t xml:space="preserve"> also with funding from Hewlett</w:t>
      </w:r>
      <w:r w:rsidRPr="00FC6FD3">
        <w:rPr>
          <w:rFonts w:ascii="Garamond" w:hAnsi="Garamond"/>
          <w:bCs/>
          <w:sz w:val="24"/>
          <w:szCs w:val="24"/>
        </w:rPr>
        <w:t xml:space="preserve">. </w:t>
      </w:r>
      <w:r>
        <w:rPr>
          <w:rFonts w:ascii="Garamond" w:hAnsi="Garamond"/>
          <w:bCs/>
          <w:sz w:val="24"/>
          <w:szCs w:val="24"/>
        </w:rPr>
        <w:t xml:space="preserve">We </w:t>
      </w:r>
      <w:r w:rsidR="00BE4B9E">
        <w:rPr>
          <w:rFonts w:ascii="Garamond" w:hAnsi="Garamond"/>
          <w:bCs/>
          <w:sz w:val="24"/>
          <w:szCs w:val="24"/>
        </w:rPr>
        <w:t>have watched the citi</w:t>
      </w:r>
      <w:r>
        <w:rPr>
          <w:rFonts w:ascii="Garamond" w:hAnsi="Garamond"/>
          <w:bCs/>
          <w:sz w:val="24"/>
          <w:szCs w:val="24"/>
        </w:rPr>
        <w:t xml:space="preserve">zen’s assessments movement take hold in seven African countries. </w:t>
      </w:r>
      <w:r w:rsidR="00BE4B9E">
        <w:rPr>
          <w:rFonts w:ascii="Garamond" w:hAnsi="Garamond"/>
          <w:bCs/>
          <w:sz w:val="24"/>
          <w:szCs w:val="24"/>
        </w:rPr>
        <w:t>A</w:t>
      </w:r>
      <w:r w:rsidR="00BB39E9">
        <w:rPr>
          <w:rFonts w:ascii="Garamond" w:hAnsi="Garamond"/>
          <w:bCs/>
          <w:sz w:val="24"/>
          <w:szCs w:val="24"/>
        </w:rPr>
        <w:t xml:space="preserve"> new </w:t>
      </w:r>
      <w:r w:rsidR="00BE4B9E">
        <w:rPr>
          <w:rFonts w:ascii="Garamond" w:hAnsi="Garamond"/>
          <w:bCs/>
          <w:sz w:val="24"/>
          <w:szCs w:val="24"/>
        </w:rPr>
        <w:t>organisation, the People’s Action for Learnin</w:t>
      </w:r>
      <w:r w:rsidR="005D5D2C">
        <w:rPr>
          <w:rFonts w:ascii="Garamond" w:hAnsi="Garamond"/>
          <w:bCs/>
          <w:sz w:val="24"/>
          <w:szCs w:val="24"/>
        </w:rPr>
        <w:t>g</w:t>
      </w:r>
      <w:r w:rsidR="00BE4B9E">
        <w:rPr>
          <w:rFonts w:ascii="Garamond" w:hAnsi="Garamond"/>
          <w:bCs/>
          <w:sz w:val="24"/>
          <w:szCs w:val="24"/>
        </w:rPr>
        <w:t xml:space="preserve"> (PAL) Network, has been set up to promote and support the nine citizens</w:t>
      </w:r>
      <w:r w:rsidR="0039427E">
        <w:rPr>
          <w:rFonts w:ascii="Garamond" w:hAnsi="Garamond"/>
          <w:bCs/>
          <w:sz w:val="24"/>
          <w:szCs w:val="24"/>
        </w:rPr>
        <w:t>’</w:t>
      </w:r>
      <w:r w:rsidR="00BE4B9E">
        <w:rPr>
          <w:rFonts w:ascii="Garamond" w:hAnsi="Garamond"/>
          <w:bCs/>
          <w:sz w:val="24"/>
          <w:szCs w:val="24"/>
        </w:rPr>
        <w:t xml:space="preserve"> led assessments. We are interested in making a</w:t>
      </w:r>
      <w:r w:rsidR="00BB39E9">
        <w:rPr>
          <w:rFonts w:ascii="Garamond" w:hAnsi="Garamond"/>
          <w:bCs/>
          <w:sz w:val="24"/>
          <w:szCs w:val="24"/>
        </w:rPr>
        <w:t xml:space="preserve"> contribution to support them b</w:t>
      </w:r>
      <w:r w:rsidR="00BE4B9E">
        <w:rPr>
          <w:rFonts w:ascii="Garamond" w:hAnsi="Garamond"/>
          <w:bCs/>
          <w:sz w:val="24"/>
          <w:szCs w:val="24"/>
        </w:rPr>
        <w:t xml:space="preserve">ut the difference between the hype and the reality on the ground that we have uncovered in Pakistan, gives us pause. </w:t>
      </w:r>
    </w:p>
    <w:p w14:paraId="0B7C39DC" w14:textId="3B5AB81C" w:rsidR="009101E7" w:rsidRPr="00FC49B7" w:rsidRDefault="009101E7" w:rsidP="00BB39E9">
      <w:pPr>
        <w:pStyle w:val="ListParagraph"/>
        <w:numPr>
          <w:ilvl w:val="0"/>
          <w:numId w:val="11"/>
        </w:numPr>
        <w:tabs>
          <w:tab w:val="left" w:pos="3936"/>
          <w:tab w:val="left" w:pos="5467"/>
        </w:tabs>
        <w:spacing w:before="240" w:line="276" w:lineRule="auto"/>
        <w:ind w:left="714" w:hanging="357"/>
        <w:rPr>
          <w:rFonts w:ascii="Garamond" w:hAnsi="Garamond"/>
          <w:b/>
          <w:bCs/>
          <w:i/>
          <w:sz w:val="24"/>
          <w:szCs w:val="24"/>
        </w:rPr>
      </w:pPr>
      <w:r w:rsidRPr="00FC49B7">
        <w:rPr>
          <w:rFonts w:ascii="Garamond" w:hAnsi="Garamond"/>
          <w:b/>
          <w:bCs/>
          <w:i/>
          <w:sz w:val="24"/>
          <w:szCs w:val="24"/>
        </w:rPr>
        <w:t xml:space="preserve">Policy analysis and monitoring </w:t>
      </w:r>
    </w:p>
    <w:p w14:paraId="37C45D54" w14:textId="36022DE0" w:rsidR="009101E7" w:rsidRDefault="009101E7" w:rsidP="009101E7">
      <w:pPr>
        <w:spacing w:line="276" w:lineRule="auto"/>
        <w:rPr>
          <w:rFonts w:ascii="Garamond" w:hAnsi="Garamond"/>
          <w:bCs/>
          <w:sz w:val="24"/>
          <w:szCs w:val="24"/>
        </w:rPr>
      </w:pPr>
      <w:r w:rsidRPr="009101E7">
        <w:rPr>
          <w:rFonts w:ascii="Garamond" w:hAnsi="Garamond"/>
          <w:bCs/>
          <w:sz w:val="24"/>
          <w:szCs w:val="24"/>
        </w:rPr>
        <w:t>Three</w:t>
      </w:r>
      <w:r>
        <w:rPr>
          <w:rFonts w:ascii="Garamond" w:hAnsi="Garamond"/>
          <w:bCs/>
          <w:sz w:val="24"/>
          <w:szCs w:val="24"/>
        </w:rPr>
        <w:t xml:space="preserve"> organisations </w:t>
      </w:r>
      <w:r w:rsidR="00F36E2C">
        <w:rPr>
          <w:rFonts w:ascii="Garamond" w:hAnsi="Garamond"/>
          <w:bCs/>
          <w:sz w:val="24"/>
          <w:szCs w:val="24"/>
        </w:rPr>
        <w:t>under this theme</w:t>
      </w:r>
      <w:r>
        <w:rPr>
          <w:rFonts w:ascii="Garamond" w:hAnsi="Garamond"/>
          <w:bCs/>
          <w:sz w:val="24"/>
          <w:szCs w:val="24"/>
        </w:rPr>
        <w:t xml:space="preserve"> primarily use policy analysis and monitoring as an approach to influencing the quality and inclusiveness of public policy formulation, </w:t>
      </w:r>
      <w:proofErr w:type="spellStart"/>
      <w:r w:rsidRPr="00783D6E">
        <w:rPr>
          <w:rFonts w:ascii="Garamond" w:hAnsi="Garamond"/>
          <w:bCs/>
          <w:i/>
          <w:sz w:val="24"/>
          <w:szCs w:val="24"/>
        </w:rPr>
        <w:t>Ação</w:t>
      </w:r>
      <w:proofErr w:type="spellEnd"/>
      <w:r w:rsidRPr="00783D6E">
        <w:rPr>
          <w:rFonts w:ascii="Garamond" w:hAnsi="Garamond"/>
          <w:bCs/>
          <w:i/>
          <w:sz w:val="24"/>
          <w:szCs w:val="24"/>
        </w:rPr>
        <w:t xml:space="preserve"> </w:t>
      </w:r>
      <w:proofErr w:type="spellStart"/>
      <w:r w:rsidRPr="00783D6E">
        <w:rPr>
          <w:rFonts w:ascii="Garamond" w:hAnsi="Garamond"/>
          <w:bCs/>
          <w:i/>
          <w:sz w:val="24"/>
          <w:szCs w:val="24"/>
        </w:rPr>
        <w:t>Educativa</w:t>
      </w:r>
      <w:proofErr w:type="spellEnd"/>
      <w:r w:rsidRPr="009101E7">
        <w:rPr>
          <w:rFonts w:ascii="Garamond" w:hAnsi="Garamond"/>
          <w:bCs/>
          <w:sz w:val="24"/>
          <w:szCs w:val="24"/>
        </w:rPr>
        <w:t xml:space="preserve"> </w:t>
      </w:r>
      <w:r w:rsidRPr="007C6A84">
        <w:rPr>
          <w:rFonts w:ascii="Garamond" w:hAnsi="Garamond"/>
          <w:bCs/>
          <w:i/>
          <w:sz w:val="24"/>
          <w:szCs w:val="24"/>
        </w:rPr>
        <w:t>(AE)</w:t>
      </w:r>
      <w:r w:rsidRPr="009101E7">
        <w:rPr>
          <w:rFonts w:ascii="Garamond" w:hAnsi="Garamond"/>
          <w:bCs/>
          <w:sz w:val="24"/>
          <w:szCs w:val="24"/>
        </w:rPr>
        <w:t xml:space="preserve"> in Brazil</w:t>
      </w:r>
      <w:r>
        <w:rPr>
          <w:rFonts w:ascii="Garamond" w:hAnsi="Garamond"/>
          <w:bCs/>
          <w:sz w:val="24"/>
          <w:szCs w:val="24"/>
        </w:rPr>
        <w:t>,</w:t>
      </w:r>
      <w:r w:rsidRPr="009101E7">
        <w:rPr>
          <w:rFonts w:ascii="Garamond" w:hAnsi="Garamond"/>
          <w:bCs/>
          <w:sz w:val="24"/>
          <w:szCs w:val="24"/>
        </w:rPr>
        <w:t xml:space="preserve"> </w:t>
      </w:r>
      <w:r w:rsidR="00783D6E" w:rsidRPr="00783D6E">
        <w:rPr>
          <w:rFonts w:ascii="Garamond" w:hAnsi="Garamond"/>
          <w:bCs/>
          <w:i/>
          <w:sz w:val="24"/>
          <w:szCs w:val="24"/>
        </w:rPr>
        <w:t xml:space="preserve">Proyecto </w:t>
      </w:r>
      <w:proofErr w:type="spellStart"/>
      <w:r w:rsidR="00783D6E" w:rsidRPr="007C6A84">
        <w:rPr>
          <w:rFonts w:ascii="Garamond" w:hAnsi="Garamond"/>
          <w:bCs/>
          <w:i/>
          <w:sz w:val="24"/>
          <w:szCs w:val="24"/>
        </w:rPr>
        <w:t>Propio</w:t>
      </w:r>
      <w:proofErr w:type="spellEnd"/>
      <w:r w:rsidR="00783D6E" w:rsidRPr="007C6A84">
        <w:rPr>
          <w:rFonts w:ascii="Garamond" w:hAnsi="Garamond"/>
          <w:bCs/>
          <w:i/>
          <w:sz w:val="24"/>
          <w:szCs w:val="24"/>
        </w:rPr>
        <w:t xml:space="preserve"> (RED)</w:t>
      </w:r>
      <w:r w:rsidR="00783D6E">
        <w:rPr>
          <w:rFonts w:ascii="Garamond" w:hAnsi="Garamond"/>
          <w:bCs/>
          <w:sz w:val="24"/>
          <w:szCs w:val="24"/>
        </w:rPr>
        <w:t xml:space="preserve"> in</w:t>
      </w:r>
      <w:r w:rsidR="00783D6E" w:rsidRPr="00816379">
        <w:rPr>
          <w:rFonts w:ascii="Garamond" w:hAnsi="Garamond"/>
          <w:bCs/>
          <w:sz w:val="24"/>
          <w:szCs w:val="24"/>
        </w:rPr>
        <w:t xml:space="preserve"> </w:t>
      </w:r>
      <w:r w:rsidR="00783D6E">
        <w:rPr>
          <w:rFonts w:ascii="Garamond" w:hAnsi="Garamond"/>
          <w:bCs/>
          <w:sz w:val="24"/>
          <w:szCs w:val="24"/>
        </w:rPr>
        <w:t>C</w:t>
      </w:r>
      <w:r w:rsidR="00783D6E" w:rsidRPr="00816379">
        <w:rPr>
          <w:rFonts w:ascii="Garamond" w:hAnsi="Garamond"/>
          <w:bCs/>
          <w:sz w:val="24"/>
          <w:szCs w:val="24"/>
        </w:rPr>
        <w:t>hile</w:t>
      </w:r>
      <w:r w:rsidR="00783D6E">
        <w:rPr>
          <w:rFonts w:ascii="Garamond" w:hAnsi="Garamond"/>
          <w:bCs/>
          <w:sz w:val="24"/>
          <w:szCs w:val="24"/>
        </w:rPr>
        <w:t xml:space="preserve"> and </w:t>
      </w:r>
      <w:r>
        <w:rPr>
          <w:rFonts w:ascii="Garamond" w:hAnsi="Garamond"/>
          <w:bCs/>
          <w:sz w:val="24"/>
          <w:szCs w:val="24"/>
        </w:rPr>
        <w:t>the C</w:t>
      </w:r>
      <w:r w:rsidR="00BB39E9">
        <w:rPr>
          <w:rFonts w:ascii="Garamond" w:hAnsi="Garamond"/>
          <w:bCs/>
          <w:sz w:val="24"/>
          <w:szCs w:val="24"/>
        </w:rPr>
        <w:t>ampaign for Quality Education,</w:t>
      </w:r>
      <w:r>
        <w:rPr>
          <w:rFonts w:ascii="Garamond" w:hAnsi="Garamond"/>
          <w:bCs/>
          <w:sz w:val="24"/>
          <w:szCs w:val="24"/>
        </w:rPr>
        <w:t xml:space="preserve"> Pakistan.</w:t>
      </w:r>
    </w:p>
    <w:p w14:paraId="0863DD1F" w14:textId="525D1649" w:rsidR="00783D6E" w:rsidRDefault="009101E7" w:rsidP="000075AF">
      <w:pPr>
        <w:spacing w:line="276" w:lineRule="auto"/>
        <w:rPr>
          <w:rFonts w:ascii="Garamond" w:hAnsi="Garamond"/>
          <w:bCs/>
          <w:sz w:val="24"/>
          <w:szCs w:val="24"/>
        </w:rPr>
      </w:pPr>
      <w:proofErr w:type="spellStart"/>
      <w:r w:rsidRPr="00DF3291">
        <w:rPr>
          <w:rFonts w:ascii="Garamond" w:hAnsi="Garamond"/>
          <w:bCs/>
          <w:sz w:val="24"/>
          <w:szCs w:val="24"/>
          <w:u w:val="single"/>
        </w:rPr>
        <w:t>Ação</w:t>
      </w:r>
      <w:proofErr w:type="spellEnd"/>
      <w:r w:rsidRPr="00DF3291">
        <w:rPr>
          <w:rFonts w:ascii="Garamond" w:hAnsi="Garamond"/>
          <w:bCs/>
          <w:sz w:val="24"/>
          <w:szCs w:val="24"/>
          <w:u w:val="single"/>
        </w:rPr>
        <w:t xml:space="preserve"> </w:t>
      </w:r>
      <w:proofErr w:type="spellStart"/>
      <w:r w:rsidRPr="007C6A84">
        <w:rPr>
          <w:rFonts w:ascii="Garamond" w:hAnsi="Garamond"/>
          <w:bCs/>
          <w:i/>
          <w:sz w:val="24"/>
          <w:szCs w:val="24"/>
          <w:u w:val="single"/>
        </w:rPr>
        <w:t>Educativa</w:t>
      </w:r>
      <w:proofErr w:type="spellEnd"/>
      <w:r w:rsidRPr="007C6A84">
        <w:rPr>
          <w:rFonts w:ascii="Garamond" w:hAnsi="Garamond"/>
          <w:bCs/>
          <w:i/>
          <w:sz w:val="24"/>
          <w:szCs w:val="24"/>
          <w:u w:val="single"/>
        </w:rPr>
        <w:t xml:space="preserve"> (AE</w:t>
      </w:r>
      <w:r w:rsidRPr="007C6A84">
        <w:rPr>
          <w:rFonts w:ascii="Garamond" w:hAnsi="Garamond"/>
          <w:bCs/>
          <w:i/>
          <w:sz w:val="24"/>
          <w:szCs w:val="24"/>
        </w:rPr>
        <w:t>)</w:t>
      </w:r>
      <w:r w:rsidRPr="006C24DB">
        <w:rPr>
          <w:rFonts w:ascii="Garamond" w:hAnsi="Garamond"/>
          <w:bCs/>
          <w:sz w:val="24"/>
          <w:szCs w:val="24"/>
        </w:rPr>
        <w:t xml:space="preserve"> is a Brazilian </w:t>
      </w:r>
      <w:r w:rsidR="00DF3291">
        <w:rPr>
          <w:rFonts w:ascii="Garamond" w:hAnsi="Garamond"/>
          <w:bCs/>
          <w:sz w:val="24"/>
          <w:szCs w:val="24"/>
        </w:rPr>
        <w:t>NGO that grew out of the social movements in</w:t>
      </w:r>
      <w:r w:rsidRPr="006C24DB">
        <w:rPr>
          <w:rFonts w:ascii="Garamond" w:hAnsi="Garamond"/>
          <w:bCs/>
          <w:sz w:val="24"/>
          <w:szCs w:val="24"/>
        </w:rPr>
        <w:t xml:space="preserve"> 1994</w:t>
      </w:r>
      <w:r w:rsidR="00DF3291">
        <w:rPr>
          <w:rFonts w:ascii="Garamond" w:hAnsi="Garamond"/>
          <w:bCs/>
          <w:sz w:val="24"/>
          <w:szCs w:val="24"/>
        </w:rPr>
        <w:t>. It has great experience in advocacy on</w:t>
      </w:r>
      <w:r w:rsidRPr="006C24DB">
        <w:rPr>
          <w:rFonts w:ascii="Garamond" w:hAnsi="Garamond"/>
          <w:bCs/>
          <w:sz w:val="24"/>
          <w:szCs w:val="24"/>
        </w:rPr>
        <w:t xml:space="preserve"> social justice</w:t>
      </w:r>
      <w:r w:rsidR="00DF3291">
        <w:rPr>
          <w:rFonts w:ascii="Garamond" w:hAnsi="Garamond"/>
          <w:bCs/>
          <w:sz w:val="24"/>
          <w:szCs w:val="24"/>
        </w:rPr>
        <w:t xml:space="preserve"> issues and a </w:t>
      </w:r>
      <w:r w:rsidRPr="006C24DB">
        <w:rPr>
          <w:rFonts w:ascii="Garamond" w:hAnsi="Garamond"/>
          <w:bCs/>
          <w:sz w:val="24"/>
          <w:szCs w:val="24"/>
        </w:rPr>
        <w:t xml:space="preserve">successful record of promoting social participation in public policy formation. Since 2014, ESP has supported the organization to develop an Education Observatory which seeks to promote transparency and advocacy </w:t>
      </w:r>
      <w:r w:rsidR="000075AF">
        <w:rPr>
          <w:rFonts w:ascii="Garamond" w:hAnsi="Garamond"/>
          <w:bCs/>
          <w:sz w:val="24"/>
          <w:szCs w:val="24"/>
        </w:rPr>
        <w:t>to hold the government accountable for education policy on issues such as privatisation, inclusion and the right to education.</w:t>
      </w:r>
      <w:r w:rsidRPr="006C24DB">
        <w:rPr>
          <w:rFonts w:ascii="Garamond" w:hAnsi="Garamond"/>
          <w:bCs/>
          <w:sz w:val="24"/>
          <w:szCs w:val="24"/>
        </w:rPr>
        <w:t xml:space="preserve"> </w:t>
      </w:r>
      <w:r w:rsidR="000075AF">
        <w:rPr>
          <w:rFonts w:ascii="Garamond" w:hAnsi="Garamond"/>
          <w:bCs/>
          <w:sz w:val="24"/>
          <w:szCs w:val="24"/>
        </w:rPr>
        <w:t xml:space="preserve">ESP </w:t>
      </w:r>
      <w:r w:rsidRPr="0077444B">
        <w:rPr>
          <w:rFonts w:ascii="Garamond" w:hAnsi="Garamond"/>
          <w:bCs/>
          <w:sz w:val="24"/>
          <w:szCs w:val="24"/>
        </w:rPr>
        <w:t>provided three small grants to</w:t>
      </w:r>
      <w:r w:rsidR="007C6A84">
        <w:rPr>
          <w:rFonts w:ascii="Garamond" w:hAnsi="Garamond"/>
          <w:bCs/>
          <w:sz w:val="24"/>
          <w:szCs w:val="24"/>
        </w:rPr>
        <w:t xml:space="preserve"> an intermediary organisation</w:t>
      </w:r>
      <w:r w:rsidR="00BB39E9">
        <w:rPr>
          <w:rFonts w:ascii="Garamond" w:hAnsi="Garamond"/>
          <w:bCs/>
          <w:sz w:val="24"/>
          <w:szCs w:val="24"/>
        </w:rPr>
        <w:t>,</w:t>
      </w:r>
      <w:r w:rsidRPr="0077444B">
        <w:rPr>
          <w:rFonts w:ascii="Garamond" w:hAnsi="Garamond"/>
          <w:bCs/>
          <w:sz w:val="24"/>
          <w:szCs w:val="24"/>
        </w:rPr>
        <w:t xml:space="preserve"> </w:t>
      </w:r>
      <w:r w:rsidRPr="007C6A84">
        <w:rPr>
          <w:rFonts w:ascii="Garamond" w:hAnsi="Garamond"/>
          <w:bCs/>
          <w:i/>
          <w:sz w:val="24"/>
          <w:szCs w:val="24"/>
          <w:u w:val="single"/>
          <w:lang w:val="en-US"/>
        </w:rPr>
        <w:t xml:space="preserve">Proyecto </w:t>
      </w:r>
      <w:proofErr w:type="spellStart"/>
      <w:r w:rsidRPr="007C6A84">
        <w:rPr>
          <w:rFonts w:ascii="Garamond" w:hAnsi="Garamond"/>
          <w:bCs/>
          <w:i/>
          <w:sz w:val="24"/>
          <w:szCs w:val="24"/>
          <w:u w:val="single"/>
          <w:lang w:val="en-US"/>
        </w:rPr>
        <w:t>Propio</w:t>
      </w:r>
      <w:proofErr w:type="spellEnd"/>
      <w:r w:rsidR="00BB39E9">
        <w:rPr>
          <w:rFonts w:ascii="Garamond" w:hAnsi="Garamond"/>
          <w:bCs/>
          <w:sz w:val="24"/>
          <w:szCs w:val="24"/>
          <w:lang w:val="en-US"/>
        </w:rPr>
        <w:t xml:space="preserve">, </w:t>
      </w:r>
      <w:r w:rsidRPr="0077444B">
        <w:rPr>
          <w:rFonts w:ascii="Garamond" w:hAnsi="Garamond"/>
          <w:bCs/>
          <w:sz w:val="24"/>
          <w:szCs w:val="24"/>
          <w:lang w:val="en-US"/>
        </w:rPr>
        <w:t xml:space="preserve">to </w:t>
      </w:r>
      <w:r w:rsidRPr="0077444B">
        <w:rPr>
          <w:rFonts w:ascii="Garamond" w:hAnsi="Garamond"/>
          <w:bCs/>
          <w:sz w:val="24"/>
          <w:szCs w:val="24"/>
        </w:rPr>
        <w:t xml:space="preserve">support the development of a strategy to </w:t>
      </w:r>
      <w:r w:rsidR="007C6A84">
        <w:rPr>
          <w:rFonts w:ascii="Garamond" w:hAnsi="Garamond"/>
          <w:bCs/>
          <w:sz w:val="24"/>
          <w:szCs w:val="24"/>
        </w:rPr>
        <w:t xml:space="preserve">establish </w:t>
      </w:r>
      <w:r w:rsidRPr="0077444B">
        <w:rPr>
          <w:rFonts w:ascii="Garamond" w:hAnsi="Garamond"/>
          <w:bCs/>
          <w:sz w:val="24"/>
          <w:szCs w:val="24"/>
        </w:rPr>
        <w:t xml:space="preserve">the basis for future growth and influence of an </w:t>
      </w:r>
      <w:r w:rsidR="00BB39E9">
        <w:rPr>
          <w:rFonts w:ascii="Garamond" w:hAnsi="Garamond"/>
          <w:bCs/>
          <w:sz w:val="24"/>
          <w:szCs w:val="24"/>
        </w:rPr>
        <w:t>organisation</w:t>
      </w:r>
      <w:r w:rsidRPr="0077444B">
        <w:rPr>
          <w:rFonts w:ascii="Garamond" w:hAnsi="Garamond"/>
          <w:bCs/>
          <w:sz w:val="24"/>
          <w:szCs w:val="24"/>
        </w:rPr>
        <w:t xml:space="preserve"> founded by the former leaders of the Chilean student movement</w:t>
      </w:r>
      <w:r w:rsidR="000075AF">
        <w:rPr>
          <w:rFonts w:ascii="Garamond" w:hAnsi="Garamond"/>
          <w:bCs/>
          <w:sz w:val="24"/>
          <w:szCs w:val="24"/>
        </w:rPr>
        <w:t>:</w:t>
      </w:r>
      <w:r w:rsidRPr="0077444B">
        <w:rPr>
          <w:rFonts w:ascii="Garamond" w:hAnsi="Garamond"/>
          <w:bCs/>
          <w:sz w:val="24"/>
          <w:szCs w:val="24"/>
        </w:rPr>
        <w:t xml:space="preserve"> </w:t>
      </w:r>
      <w:r w:rsidRPr="0077444B">
        <w:rPr>
          <w:rFonts w:ascii="Garamond" w:hAnsi="Garamond"/>
          <w:bCs/>
          <w:i/>
          <w:iCs/>
          <w:sz w:val="24"/>
          <w:szCs w:val="24"/>
        </w:rPr>
        <w:t xml:space="preserve">Red de </w:t>
      </w:r>
      <w:proofErr w:type="spellStart"/>
      <w:r w:rsidRPr="0077444B">
        <w:rPr>
          <w:rFonts w:ascii="Garamond" w:hAnsi="Garamond"/>
          <w:bCs/>
          <w:i/>
          <w:iCs/>
          <w:sz w:val="24"/>
          <w:szCs w:val="24"/>
        </w:rPr>
        <w:t>Estudios</w:t>
      </w:r>
      <w:proofErr w:type="spellEnd"/>
      <w:r w:rsidRPr="0077444B">
        <w:rPr>
          <w:rFonts w:ascii="Garamond" w:hAnsi="Garamond"/>
          <w:bCs/>
          <w:i/>
          <w:iCs/>
          <w:sz w:val="24"/>
          <w:szCs w:val="24"/>
        </w:rPr>
        <w:t xml:space="preserve"> para la </w:t>
      </w:r>
      <w:proofErr w:type="spellStart"/>
      <w:r w:rsidRPr="0077444B">
        <w:rPr>
          <w:rFonts w:ascii="Garamond" w:hAnsi="Garamond"/>
          <w:bCs/>
          <w:i/>
          <w:iCs/>
          <w:sz w:val="24"/>
          <w:szCs w:val="24"/>
        </w:rPr>
        <w:t>Profundización</w:t>
      </w:r>
      <w:proofErr w:type="spellEnd"/>
      <w:r w:rsidRPr="0077444B">
        <w:rPr>
          <w:rFonts w:ascii="Garamond" w:hAnsi="Garamond"/>
          <w:bCs/>
          <w:i/>
          <w:iCs/>
          <w:sz w:val="24"/>
          <w:szCs w:val="24"/>
        </w:rPr>
        <w:t xml:space="preserve"> </w:t>
      </w:r>
      <w:proofErr w:type="spellStart"/>
      <w:r w:rsidRPr="007C6A84">
        <w:rPr>
          <w:rFonts w:ascii="Garamond" w:hAnsi="Garamond"/>
          <w:bCs/>
          <w:i/>
          <w:iCs/>
          <w:sz w:val="24"/>
          <w:szCs w:val="24"/>
        </w:rPr>
        <w:t>Democrátic</w:t>
      </w:r>
      <w:proofErr w:type="spellEnd"/>
      <w:r w:rsidRPr="007C6A84">
        <w:rPr>
          <w:rFonts w:ascii="Garamond" w:hAnsi="Garamond"/>
          <w:bCs/>
          <w:i/>
          <w:sz w:val="24"/>
          <w:szCs w:val="24"/>
        </w:rPr>
        <w:t xml:space="preserve"> (RED). RED</w:t>
      </w:r>
      <w:r w:rsidRPr="0077444B">
        <w:rPr>
          <w:rFonts w:ascii="Garamond" w:hAnsi="Garamond"/>
          <w:bCs/>
          <w:sz w:val="24"/>
          <w:szCs w:val="24"/>
        </w:rPr>
        <w:t xml:space="preserve"> </w:t>
      </w:r>
      <w:r w:rsidR="000075AF">
        <w:rPr>
          <w:rFonts w:ascii="Garamond" w:hAnsi="Garamond"/>
          <w:bCs/>
          <w:sz w:val="24"/>
          <w:szCs w:val="24"/>
        </w:rPr>
        <w:t>hoped to consolidate</w:t>
      </w:r>
      <w:r w:rsidRPr="0077444B">
        <w:rPr>
          <w:rFonts w:ascii="Garamond" w:hAnsi="Garamond"/>
          <w:bCs/>
          <w:sz w:val="24"/>
          <w:szCs w:val="24"/>
        </w:rPr>
        <w:t xml:space="preserve"> a network of actors from different social and political spheres around a common vision during the significant political, social and economic transformations that Chile is currently undergoing.</w:t>
      </w:r>
      <w:r w:rsidR="000075AF">
        <w:rPr>
          <w:rFonts w:ascii="Garamond" w:hAnsi="Garamond"/>
          <w:bCs/>
          <w:sz w:val="24"/>
          <w:szCs w:val="24"/>
        </w:rPr>
        <w:t xml:space="preserve"> </w:t>
      </w:r>
    </w:p>
    <w:p w14:paraId="1980775F" w14:textId="6D7B71EE" w:rsidR="009101E7" w:rsidRPr="0077444B" w:rsidRDefault="007C6A84" w:rsidP="000075AF">
      <w:pPr>
        <w:spacing w:line="276" w:lineRule="auto"/>
        <w:rPr>
          <w:rFonts w:ascii="Garamond" w:hAnsi="Garamond"/>
          <w:bCs/>
          <w:sz w:val="24"/>
          <w:szCs w:val="24"/>
        </w:rPr>
      </w:pPr>
      <w:r>
        <w:rPr>
          <w:rFonts w:ascii="Garamond" w:hAnsi="Garamond"/>
          <w:bCs/>
          <w:sz w:val="24"/>
          <w:szCs w:val="24"/>
        </w:rPr>
        <w:t xml:space="preserve">The strength of </w:t>
      </w:r>
      <w:r w:rsidRPr="007C6A84">
        <w:rPr>
          <w:rFonts w:ascii="Garamond" w:hAnsi="Garamond"/>
          <w:bCs/>
          <w:i/>
          <w:sz w:val="24"/>
          <w:szCs w:val="24"/>
        </w:rPr>
        <w:t>AE</w:t>
      </w:r>
      <w:r w:rsidRPr="007C6A84">
        <w:rPr>
          <w:rFonts w:ascii="Garamond" w:hAnsi="Garamond"/>
          <w:bCs/>
          <w:sz w:val="24"/>
          <w:szCs w:val="24"/>
        </w:rPr>
        <w:t xml:space="preserve"> and </w:t>
      </w:r>
      <w:r w:rsidRPr="007C6A84">
        <w:rPr>
          <w:rFonts w:ascii="Garamond" w:hAnsi="Garamond"/>
          <w:bCs/>
          <w:i/>
          <w:sz w:val="24"/>
          <w:szCs w:val="24"/>
        </w:rPr>
        <w:t>RED</w:t>
      </w:r>
      <w:r>
        <w:rPr>
          <w:rFonts w:ascii="Garamond" w:hAnsi="Garamond"/>
          <w:bCs/>
          <w:sz w:val="24"/>
          <w:szCs w:val="24"/>
        </w:rPr>
        <w:t xml:space="preserve"> is that they are deeply rooted in social movements. </w:t>
      </w:r>
      <w:r w:rsidR="00783D6E">
        <w:rPr>
          <w:rFonts w:ascii="Garamond" w:hAnsi="Garamond"/>
          <w:bCs/>
          <w:sz w:val="24"/>
          <w:szCs w:val="24"/>
        </w:rPr>
        <w:t>In both cases these organisations</w:t>
      </w:r>
      <w:r w:rsidR="000075AF">
        <w:rPr>
          <w:rFonts w:ascii="Garamond" w:hAnsi="Garamond"/>
          <w:bCs/>
          <w:sz w:val="24"/>
          <w:szCs w:val="24"/>
        </w:rPr>
        <w:t xml:space="preserve"> represent efforts to move from active street-based protest to </w:t>
      </w:r>
      <w:r w:rsidR="00783D6E">
        <w:rPr>
          <w:rFonts w:ascii="Garamond" w:hAnsi="Garamond"/>
          <w:bCs/>
          <w:sz w:val="24"/>
          <w:szCs w:val="24"/>
        </w:rPr>
        <w:t>more systematic policy research and analysis. Both are struggling to secure adequate funding in the Latin Am</w:t>
      </w:r>
      <w:r w:rsidR="00BB39E9">
        <w:rPr>
          <w:rFonts w:ascii="Garamond" w:hAnsi="Garamond"/>
          <w:bCs/>
          <w:sz w:val="24"/>
          <w:szCs w:val="24"/>
        </w:rPr>
        <w:t>erican space. While we regret</w:t>
      </w:r>
      <w:r w:rsidR="00783D6E">
        <w:rPr>
          <w:rFonts w:ascii="Garamond" w:hAnsi="Garamond"/>
          <w:bCs/>
          <w:sz w:val="24"/>
          <w:szCs w:val="24"/>
        </w:rPr>
        <w:t xml:space="preserve"> we </w:t>
      </w:r>
      <w:r w:rsidR="00BB39E9">
        <w:rPr>
          <w:rFonts w:ascii="Garamond" w:hAnsi="Garamond"/>
          <w:bCs/>
          <w:sz w:val="24"/>
          <w:szCs w:val="24"/>
        </w:rPr>
        <w:t xml:space="preserve">shall </w:t>
      </w:r>
      <w:r w:rsidR="00783D6E">
        <w:rPr>
          <w:rFonts w:ascii="Garamond" w:hAnsi="Garamond"/>
          <w:bCs/>
          <w:sz w:val="24"/>
          <w:szCs w:val="24"/>
        </w:rPr>
        <w:t>not continue</w:t>
      </w:r>
      <w:r w:rsidR="009101E7" w:rsidRPr="0077444B">
        <w:rPr>
          <w:rFonts w:ascii="Garamond" w:hAnsi="Garamond"/>
          <w:bCs/>
          <w:sz w:val="24"/>
          <w:szCs w:val="24"/>
        </w:rPr>
        <w:t xml:space="preserve"> </w:t>
      </w:r>
      <w:r w:rsidR="00BB39E9">
        <w:rPr>
          <w:rFonts w:ascii="Garamond" w:hAnsi="Garamond"/>
          <w:bCs/>
          <w:sz w:val="24"/>
          <w:szCs w:val="24"/>
        </w:rPr>
        <w:t>supporting these organisations</w:t>
      </w:r>
      <w:r w:rsidR="00783D6E">
        <w:rPr>
          <w:rFonts w:ascii="Garamond" w:hAnsi="Garamond"/>
          <w:bCs/>
          <w:sz w:val="24"/>
          <w:szCs w:val="24"/>
        </w:rPr>
        <w:t>, we a</w:t>
      </w:r>
      <w:r w:rsidR="00BB39E9">
        <w:rPr>
          <w:rFonts w:ascii="Garamond" w:hAnsi="Garamond"/>
          <w:bCs/>
          <w:sz w:val="24"/>
          <w:szCs w:val="24"/>
        </w:rPr>
        <w:t xml:space="preserve">gree </w:t>
      </w:r>
      <w:r w:rsidR="00783D6E">
        <w:rPr>
          <w:rFonts w:ascii="Garamond" w:hAnsi="Garamond"/>
          <w:bCs/>
          <w:sz w:val="24"/>
          <w:szCs w:val="24"/>
        </w:rPr>
        <w:t xml:space="preserve">that achieving anything worthwhile in Latin America would require adequate resources, a longer term plan and deep knowledge of the region. ESP has none of these. The lesson for us is that we need to have these assurances in place before we </w:t>
      </w:r>
      <w:r w:rsidR="005748CD">
        <w:rPr>
          <w:rFonts w:ascii="Garamond" w:hAnsi="Garamond"/>
          <w:bCs/>
          <w:sz w:val="24"/>
          <w:szCs w:val="24"/>
        </w:rPr>
        <w:t xml:space="preserve">start </w:t>
      </w:r>
      <w:r w:rsidR="00783D6E">
        <w:rPr>
          <w:rFonts w:ascii="Garamond" w:hAnsi="Garamond"/>
          <w:bCs/>
          <w:sz w:val="24"/>
          <w:szCs w:val="24"/>
        </w:rPr>
        <w:t xml:space="preserve">work in a region. There </w:t>
      </w:r>
      <w:r w:rsidR="005748CD">
        <w:rPr>
          <w:rFonts w:ascii="Garamond" w:hAnsi="Garamond"/>
          <w:bCs/>
          <w:sz w:val="24"/>
          <w:szCs w:val="24"/>
        </w:rPr>
        <w:t>was</w:t>
      </w:r>
      <w:r w:rsidR="00783D6E">
        <w:rPr>
          <w:rFonts w:ascii="Garamond" w:hAnsi="Garamond"/>
          <w:bCs/>
          <w:sz w:val="24"/>
          <w:szCs w:val="24"/>
        </w:rPr>
        <w:t xml:space="preserve"> no indication that the regional foundation was going to pursue any work in education.</w:t>
      </w:r>
    </w:p>
    <w:p w14:paraId="2AEE8C6E" w14:textId="2F13F0D4" w:rsidR="009101E7" w:rsidRPr="004C3F29" w:rsidRDefault="00BE4B9E" w:rsidP="009101E7">
      <w:pPr>
        <w:spacing w:line="276" w:lineRule="auto"/>
        <w:rPr>
          <w:rFonts w:ascii="Garamond" w:hAnsi="Garamond"/>
          <w:bCs/>
          <w:sz w:val="24"/>
          <w:szCs w:val="24"/>
          <w:lang w:val="en-US"/>
        </w:rPr>
      </w:pPr>
      <w:r w:rsidRPr="007C6A84">
        <w:rPr>
          <w:rFonts w:ascii="Garamond" w:hAnsi="Garamond"/>
          <w:bCs/>
          <w:sz w:val="24"/>
          <w:szCs w:val="24"/>
          <w:u w:val="single"/>
          <w:lang w:val="en-US"/>
        </w:rPr>
        <w:t>Campaign for Quality Education (CQE</w:t>
      </w:r>
      <w:r w:rsidRPr="00BE4B9E">
        <w:rPr>
          <w:rFonts w:ascii="Garamond" w:hAnsi="Garamond"/>
          <w:bCs/>
          <w:sz w:val="24"/>
          <w:szCs w:val="24"/>
          <w:lang w:val="en-US"/>
        </w:rPr>
        <w:t>):</w:t>
      </w:r>
      <w:r>
        <w:rPr>
          <w:rFonts w:ascii="Garamond" w:hAnsi="Garamond"/>
          <w:bCs/>
          <w:sz w:val="24"/>
          <w:szCs w:val="24"/>
          <w:lang w:val="en-US"/>
        </w:rPr>
        <w:t xml:space="preserve"> </w:t>
      </w:r>
      <w:r w:rsidR="004E2D8B">
        <w:rPr>
          <w:rFonts w:ascii="Garamond" w:hAnsi="Garamond"/>
          <w:bCs/>
          <w:sz w:val="24"/>
          <w:szCs w:val="24"/>
          <w:lang w:val="en-US"/>
        </w:rPr>
        <w:t xml:space="preserve">ESP and </w:t>
      </w:r>
      <w:r w:rsidR="009101E7" w:rsidRPr="004C3F29">
        <w:rPr>
          <w:rFonts w:ascii="Garamond" w:hAnsi="Garamond"/>
          <w:bCs/>
          <w:sz w:val="24"/>
          <w:szCs w:val="24"/>
          <w:lang w:val="en-US"/>
        </w:rPr>
        <w:t xml:space="preserve">OSF-Pakistan </w:t>
      </w:r>
      <w:r w:rsidR="004E2D8B">
        <w:rPr>
          <w:rFonts w:ascii="Garamond" w:hAnsi="Garamond"/>
          <w:bCs/>
          <w:sz w:val="24"/>
          <w:szCs w:val="24"/>
          <w:lang w:val="en-US"/>
        </w:rPr>
        <w:t>worked to establish</w:t>
      </w:r>
      <w:r w:rsidR="009101E7" w:rsidRPr="004C3F29">
        <w:rPr>
          <w:rFonts w:ascii="Garamond" w:hAnsi="Garamond"/>
          <w:bCs/>
          <w:sz w:val="24"/>
          <w:szCs w:val="24"/>
          <w:lang w:val="en-US"/>
        </w:rPr>
        <w:t xml:space="preserve"> </w:t>
      </w:r>
      <w:r>
        <w:rPr>
          <w:rFonts w:ascii="Garamond" w:hAnsi="Garamond"/>
          <w:bCs/>
          <w:sz w:val="24"/>
          <w:szCs w:val="24"/>
          <w:lang w:val="en-US"/>
        </w:rPr>
        <w:t>CQE</w:t>
      </w:r>
      <w:r w:rsidR="009101E7" w:rsidRPr="004C3F29">
        <w:rPr>
          <w:rFonts w:ascii="Garamond" w:hAnsi="Garamond"/>
          <w:bCs/>
          <w:sz w:val="24"/>
          <w:szCs w:val="24"/>
          <w:lang w:val="en-US"/>
        </w:rPr>
        <w:t xml:space="preserve"> </w:t>
      </w:r>
      <w:r w:rsidR="004E2D8B">
        <w:rPr>
          <w:rFonts w:ascii="Garamond" w:hAnsi="Garamond"/>
          <w:bCs/>
          <w:sz w:val="24"/>
          <w:szCs w:val="24"/>
          <w:lang w:val="en-US"/>
        </w:rPr>
        <w:t xml:space="preserve">a decade ago when OSF started work in Pakistan. CQE is less of a campaign, however, and more </w:t>
      </w:r>
      <w:r w:rsidR="004E2D8B">
        <w:rPr>
          <w:rFonts w:ascii="Garamond" w:hAnsi="Garamond"/>
          <w:bCs/>
          <w:sz w:val="24"/>
          <w:szCs w:val="24"/>
          <w:lang w:val="en-US"/>
        </w:rPr>
        <w:lastRenderedPageBreak/>
        <w:t xml:space="preserve">of a policy research unit that </w:t>
      </w:r>
      <w:r w:rsidR="009101E7" w:rsidRPr="004C3F29">
        <w:rPr>
          <w:rFonts w:ascii="Garamond" w:hAnsi="Garamond"/>
          <w:bCs/>
          <w:sz w:val="24"/>
          <w:szCs w:val="24"/>
          <w:lang w:val="en-US"/>
        </w:rPr>
        <w:t>incorporate</w:t>
      </w:r>
      <w:r w:rsidR="004E2D8B">
        <w:rPr>
          <w:rFonts w:ascii="Garamond" w:hAnsi="Garamond"/>
          <w:bCs/>
          <w:sz w:val="24"/>
          <w:szCs w:val="24"/>
          <w:lang w:val="en-US"/>
        </w:rPr>
        <w:t>s</w:t>
      </w:r>
      <w:r w:rsidR="009101E7" w:rsidRPr="004C3F29">
        <w:rPr>
          <w:rFonts w:ascii="Garamond" w:hAnsi="Garamond"/>
          <w:bCs/>
          <w:sz w:val="24"/>
          <w:szCs w:val="24"/>
          <w:lang w:val="en-US"/>
        </w:rPr>
        <w:t xml:space="preserve"> </w:t>
      </w:r>
      <w:r w:rsidR="004E2D8B">
        <w:rPr>
          <w:rFonts w:ascii="Garamond" w:hAnsi="Garamond"/>
          <w:bCs/>
          <w:sz w:val="24"/>
          <w:szCs w:val="24"/>
          <w:lang w:val="en-US"/>
        </w:rPr>
        <w:t xml:space="preserve">about 30 </w:t>
      </w:r>
      <w:r w:rsidR="009101E7" w:rsidRPr="004C3F29">
        <w:rPr>
          <w:rFonts w:ascii="Garamond" w:hAnsi="Garamond"/>
          <w:bCs/>
          <w:sz w:val="24"/>
          <w:szCs w:val="24"/>
          <w:lang w:val="en-US"/>
        </w:rPr>
        <w:t>of the more critical thinkers i</w:t>
      </w:r>
      <w:r w:rsidR="004E2D8B">
        <w:rPr>
          <w:rFonts w:ascii="Garamond" w:hAnsi="Garamond"/>
          <w:bCs/>
          <w:sz w:val="24"/>
          <w:szCs w:val="24"/>
          <w:lang w:val="en-US"/>
        </w:rPr>
        <w:t xml:space="preserve">n education policy in Pakistan and </w:t>
      </w:r>
      <w:r w:rsidR="004E2D8B" w:rsidRPr="007C6A84">
        <w:rPr>
          <w:rFonts w:ascii="Garamond" w:hAnsi="Garamond"/>
          <w:bCs/>
          <w:sz w:val="24"/>
          <w:szCs w:val="24"/>
          <w:lang w:val="en-US"/>
        </w:rPr>
        <w:t xml:space="preserve">produces thoughtful and useful work. Their </w:t>
      </w:r>
      <w:r w:rsidR="007C6A84" w:rsidRPr="007C6A84">
        <w:rPr>
          <w:rFonts w:ascii="Garamond" w:hAnsi="Garamond"/>
          <w:bCs/>
          <w:sz w:val="24"/>
          <w:szCs w:val="24"/>
          <w:lang w:val="en-US"/>
        </w:rPr>
        <w:t>successful policy work includes</w:t>
      </w:r>
      <w:r w:rsidR="00FD2833" w:rsidRPr="007C6A84">
        <w:rPr>
          <w:rFonts w:ascii="Garamond" w:hAnsi="Garamond"/>
          <w:bCs/>
          <w:sz w:val="24"/>
          <w:szCs w:val="24"/>
          <w:lang w:val="en-US"/>
        </w:rPr>
        <w:t xml:space="preserve"> a</w:t>
      </w:r>
      <w:r w:rsidR="007C6A84" w:rsidRPr="007C6A84">
        <w:rPr>
          <w:rFonts w:ascii="Garamond" w:hAnsi="Garamond"/>
          <w:bCs/>
          <w:sz w:val="24"/>
          <w:szCs w:val="24"/>
          <w:lang w:val="en-US"/>
        </w:rPr>
        <w:t>n analysis of language and learning in Punjab</w:t>
      </w:r>
      <w:r w:rsidR="009101E7" w:rsidRPr="007C6A84">
        <w:rPr>
          <w:rFonts w:ascii="Garamond" w:hAnsi="Garamond"/>
          <w:bCs/>
          <w:sz w:val="24"/>
          <w:szCs w:val="24"/>
          <w:lang w:val="en-US"/>
        </w:rPr>
        <w:t xml:space="preserve"> </w:t>
      </w:r>
      <w:r w:rsidR="007C6A84" w:rsidRPr="007C6A84">
        <w:rPr>
          <w:rFonts w:ascii="Garamond" w:hAnsi="Garamond"/>
          <w:bCs/>
          <w:sz w:val="24"/>
          <w:szCs w:val="24"/>
          <w:lang w:val="en-US"/>
        </w:rPr>
        <w:t xml:space="preserve">which argued that using </w:t>
      </w:r>
      <w:r w:rsidR="009101E7" w:rsidRPr="007C6A84">
        <w:rPr>
          <w:rFonts w:ascii="Garamond" w:hAnsi="Garamond"/>
          <w:bCs/>
          <w:sz w:val="24"/>
          <w:szCs w:val="24"/>
          <w:lang w:val="en-US"/>
        </w:rPr>
        <w:t xml:space="preserve">English as the medium of instruction </w:t>
      </w:r>
      <w:r w:rsidR="007C6A84" w:rsidRPr="007C6A84">
        <w:rPr>
          <w:rFonts w:ascii="Garamond" w:hAnsi="Garamond"/>
          <w:bCs/>
          <w:sz w:val="24"/>
          <w:szCs w:val="24"/>
          <w:lang w:val="en-US"/>
        </w:rPr>
        <w:t>in early</w:t>
      </w:r>
      <w:r w:rsidR="007C6A84">
        <w:rPr>
          <w:rFonts w:ascii="Garamond" w:hAnsi="Garamond"/>
          <w:bCs/>
          <w:sz w:val="24"/>
          <w:szCs w:val="24"/>
          <w:lang w:val="en-US"/>
        </w:rPr>
        <w:t xml:space="preserve"> grades</w:t>
      </w:r>
      <w:r w:rsidR="009101E7" w:rsidRPr="007C6A84">
        <w:rPr>
          <w:rFonts w:ascii="Garamond" w:hAnsi="Garamond"/>
          <w:bCs/>
          <w:sz w:val="24"/>
          <w:szCs w:val="24"/>
          <w:lang w:val="en-US"/>
        </w:rPr>
        <w:t xml:space="preserve"> hampers learning.</w:t>
      </w:r>
      <w:r w:rsidR="007C6A84" w:rsidRPr="007C6A84">
        <w:rPr>
          <w:rFonts w:ascii="Garamond" w:hAnsi="Garamond"/>
          <w:bCs/>
          <w:sz w:val="24"/>
          <w:szCs w:val="24"/>
          <w:lang w:val="en-US"/>
        </w:rPr>
        <w:t xml:space="preserve"> This</w:t>
      </w:r>
      <w:r w:rsidR="007C6A84">
        <w:rPr>
          <w:rFonts w:ascii="Garamond" w:hAnsi="Garamond"/>
          <w:bCs/>
          <w:sz w:val="24"/>
          <w:szCs w:val="24"/>
          <w:lang w:val="en-US"/>
        </w:rPr>
        <w:t xml:space="preserve"> led the provincial government to </w:t>
      </w:r>
      <w:r w:rsidR="00ED3641">
        <w:rPr>
          <w:rFonts w:ascii="Garamond" w:hAnsi="Garamond"/>
          <w:bCs/>
          <w:sz w:val="24"/>
          <w:szCs w:val="24"/>
          <w:lang w:val="en-US"/>
        </w:rPr>
        <w:t xml:space="preserve">implement policy to </w:t>
      </w:r>
      <w:r w:rsidR="007C6A84">
        <w:rPr>
          <w:rFonts w:ascii="Garamond" w:hAnsi="Garamond"/>
          <w:bCs/>
          <w:sz w:val="24"/>
          <w:szCs w:val="24"/>
          <w:lang w:val="en-US"/>
        </w:rPr>
        <w:t>delay the introduction of English to Grade-3.</w:t>
      </w:r>
      <w:r w:rsidR="009101E7" w:rsidRPr="004C3F29">
        <w:rPr>
          <w:rFonts w:ascii="Garamond" w:hAnsi="Garamond"/>
          <w:bCs/>
          <w:sz w:val="24"/>
          <w:szCs w:val="24"/>
          <w:lang w:val="en-US"/>
        </w:rPr>
        <w:t xml:space="preserve"> CQE is </w:t>
      </w:r>
      <w:r w:rsidR="007C6A84">
        <w:rPr>
          <w:rFonts w:ascii="Garamond" w:hAnsi="Garamond"/>
          <w:bCs/>
          <w:sz w:val="24"/>
          <w:szCs w:val="24"/>
          <w:lang w:val="en-US"/>
        </w:rPr>
        <w:t>trying to bring about the same result in</w:t>
      </w:r>
      <w:r w:rsidR="009101E7" w:rsidRPr="004C3F29">
        <w:rPr>
          <w:rFonts w:ascii="Garamond" w:hAnsi="Garamond"/>
          <w:bCs/>
          <w:sz w:val="24"/>
          <w:szCs w:val="24"/>
          <w:lang w:val="en-US"/>
        </w:rPr>
        <w:t xml:space="preserve"> Sindh</w:t>
      </w:r>
      <w:r w:rsidR="007C6A84">
        <w:rPr>
          <w:rFonts w:ascii="Garamond" w:hAnsi="Garamond"/>
          <w:bCs/>
          <w:sz w:val="24"/>
          <w:szCs w:val="24"/>
          <w:lang w:val="en-US"/>
        </w:rPr>
        <w:t xml:space="preserve"> Province</w:t>
      </w:r>
      <w:r w:rsidR="009101E7" w:rsidRPr="004C3F29">
        <w:rPr>
          <w:rFonts w:ascii="Garamond" w:hAnsi="Garamond"/>
          <w:bCs/>
          <w:sz w:val="24"/>
          <w:szCs w:val="24"/>
          <w:lang w:val="en-US"/>
        </w:rPr>
        <w:t xml:space="preserve">. </w:t>
      </w:r>
    </w:p>
    <w:p w14:paraId="35E94D42" w14:textId="2A4D62A8" w:rsidR="009101E7" w:rsidRDefault="00ED3641" w:rsidP="009101E7">
      <w:pPr>
        <w:spacing w:line="276" w:lineRule="auto"/>
        <w:rPr>
          <w:rFonts w:ascii="Garamond" w:hAnsi="Garamond"/>
          <w:bCs/>
          <w:sz w:val="24"/>
          <w:szCs w:val="24"/>
          <w:lang w:val="en-US"/>
        </w:rPr>
      </w:pPr>
      <w:r w:rsidRPr="004C3F29">
        <w:rPr>
          <w:rFonts w:ascii="Garamond" w:hAnsi="Garamond"/>
          <w:bCs/>
          <w:sz w:val="24"/>
          <w:szCs w:val="24"/>
          <w:lang w:val="en-US"/>
        </w:rPr>
        <w:t>Cit</w:t>
      </w:r>
      <w:r>
        <w:rPr>
          <w:rFonts w:ascii="Garamond" w:hAnsi="Garamond"/>
          <w:bCs/>
          <w:sz w:val="24"/>
          <w:szCs w:val="24"/>
          <w:lang w:val="en-US"/>
        </w:rPr>
        <w:t>i</w:t>
      </w:r>
      <w:r w:rsidRPr="004C3F29">
        <w:rPr>
          <w:rFonts w:ascii="Garamond" w:hAnsi="Garamond"/>
          <w:bCs/>
          <w:sz w:val="24"/>
          <w:szCs w:val="24"/>
          <w:lang w:val="en-US"/>
        </w:rPr>
        <w:t xml:space="preserve">zenship education is another major concern for CQE. </w:t>
      </w:r>
      <w:r w:rsidR="005748CD">
        <w:rPr>
          <w:rFonts w:ascii="Garamond" w:hAnsi="Garamond"/>
          <w:bCs/>
          <w:sz w:val="24"/>
          <w:szCs w:val="24"/>
          <w:lang w:val="en-US"/>
        </w:rPr>
        <w:t xml:space="preserve">It established </w:t>
      </w:r>
      <w:proofErr w:type="spellStart"/>
      <w:r w:rsidRPr="005748CD">
        <w:rPr>
          <w:rFonts w:ascii="Garamond" w:hAnsi="Garamond"/>
          <w:bCs/>
          <w:i/>
          <w:sz w:val="24"/>
          <w:szCs w:val="24"/>
          <w:lang w:val="en-US"/>
        </w:rPr>
        <w:t>Humshehri</w:t>
      </w:r>
      <w:proofErr w:type="spellEnd"/>
      <w:r w:rsidRPr="004C3F29">
        <w:rPr>
          <w:rFonts w:ascii="Garamond" w:hAnsi="Garamond"/>
          <w:bCs/>
          <w:sz w:val="24"/>
          <w:szCs w:val="24"/>
          <w:lang w:val="en-US"/>
        </w:rPr>
        <w:t xml:space="preserve"> (We citizens) </w:t>
      </w:r>
      <w:r w:rsidR="005748CD">
        <w:rPr>
          <w:rFonts w:ascii="Garamond" w:hAnsi="Garamond"/>
          <w:bCs/>
          <w:sz w:val="24"/>
          <w:szCs w:val="24"/>
          <w:lang w:val="en-US"/>
        </w:rPr>
        <w:t xml:space="preserve">a </w:t>
      </w:r>
      <w:r w:rsidRPr="004C3F29">
        <w:rPr>
          <w:rFonts w:ascii="Garamond" w:hAnsi="Garamond"/>
          <w:bCs/>
          <w:sz w:val="24"/>
          <w:szCs w:val="24"/>
          <w:lang w:val="en-US"/>
        </w:rPr>
        <w:t xml:space="preserve">website that </w:t>
      </w:r>
      <w:r w:rsidR="005748CD">
        <w:rPr>
          <w:rFonts w:ascii="Garamond" w:hAnsi="Garamond"/>
          <w:bCs/>
          <w:sz w:val="24"/>
          <w:szCs w:val="24"/>
          <w:lang w:val="en-US"/>
        </w:rPr>
        <w:t>provides</w:t>
      </w:r>
      <w:r w:rsidRPr="004C3F29">
        <w:rPr>
          <w:rFonts w:ascii="Garamond" w:hAnsi="Garamond"/>
          <w:bCs/>
          <w:sz w:val="24"/>
          <w:szCs w:val="24"/>
          <w:lang w:val="en-US"/>
        </w:rPr>
        <w:t xml:space="preserve"> a citizenship resource for teachers and students</w:t>
      </w:r>
      <w:r w:rsidR="005748CD">
        <w:rPr>
          <w:rFonts w:ascii="Garamond" w:hAnsi="Garamond"/>
          <w:bCs/>
          <w:sz w:val="24"/>
          <w:szCs w:val="24"/>
          <w:lang w:val="en-US"/>
        </w:rPr>
        <w:t>. It</w:t>
      </w:r>
      <w:r w:rsidRPr="004C3F29">
        <w:rPr>
          <w:rFonts w:ascii="Garamond" w:hAnsi="Garamond"/>
          <w:bCs/>
          <w:sz w:val="24"/>
          <w:szCs w:val="24"/>
          <w:lang w:val="en-US"/>
        </w:rPr>
        <w:t xml:space="preserve"> highlight</w:t>
      </w:r>
      <w:r w:rsidR="005748CD">
        <w:rPr>
          <w:rFonts w:ascii="Garamond" w:hAnsi="Garamond"/>
          <w:bCs/>
          <w:sz w:val="24"/>
          <w:szCs w:val="24"/>
          <w:lang w:val="en-US"/>
        </w:rPr>
        <w:t>s</w:t>
      </w:r>
      <w:r w:rsidRPr="004C3F29">
        <w:rPr>
          <w:rFonts w:ascii="Garamond" w:hAnsi="Garamond"/>
          <w:bCs/>
          <w:sz w:val="24"/>
          <w:szCs w:val="24"/>
          <w:lang w:val="en-US"/>
        </w:rPr>
        <w:t xml:space="preserve"> the strains </w:t>
      </w:r>
      <w:r w:rsidRPr="00ED3641">
        <w:rPr>
          <w:rFonts w:ascii="Garamond" w:hAnsi="Garamond"/>
          <w:bCs/>
          <w:sz w:val="24"/>
          <w:szCs w:val="24"/>
          <w:lang w:val="en-US"/>
        </w:rPr>
        <w:t xml:space="preserve">of diversity and tolerance in Pakistan’s historical and cultural context. CQE </w:t>
      </w:r>
      <w:r>
        <w:rPr>
          <w:rFonts w:ascii="Garamond" w:hAnsi="Garamond"/>
          <w:bCs/>
          <w:sz w:val="24"/>
          <w:szCs w:val="24"/>
          <w:lang w:val="en-US"/>
        </w:rPr>
        <w:t>put out a</w:t>
      </w:r>
      <w:r w:rsidRPr="00ED3641">
        <w:rPr>
          <w:rFonts w:ascii="Garamond" w:hAnsi="Garamond"/>
          <w:bCs/>
          <w:sz w:val="24"/>
          <w:szCs w:val="24"/>
          <w:lang w:val="en-US"/>
        </w:rPr>
        <w:t xml:space="preserve"> book </w:t>
      </w:r>
      <w:r>
        <w:rPr>
          <w:rFonts w:ascii="Garamond" w:hAnsi="Garamond"/>
          <w:bCs/>
          <w:sz w:val="24"/>
          <w:szCs w:val="24"/>
          <w:lang w:val="en-US"/>
        </w:rPr>
        <w:t xml:space="preserve">in </w:t>
      </w:r>
      <w:r w:rsidRPr="004C3F29">
        <w:rPr>
          <w:rFonts w:ascii="Garamond" w:hAnsi="Garamond"/>
          <w:bCs/>
          <w:sz w:val="24"/>
          <w:szCs w:val="24"/>
          <w:lang w:val="en-US"/>
        </w:rPr>
        <w:t>collaboration with the South Asian Free Media Association (SAFMA)</w:t>
      </w:r>
      <w:r>
        <w:rPr>
          <w:rFonts w:ascii="Garamond" w:hAnsi="Garamond"/>
          <w:bCs/>
          <w:sz w:val="24"/>
          <w:szCs w:val="24"/>
          <w:lang w:val="en-US"/>
        </w:rPr>
        <w:t xml:space="preserve">, </w:t>
      </w:r>
      <w:r w:rsidRPr="00ED3641">
        <w:rPr>
          <w:rFonts w:ascii="Garamond" w:hAnsi="Garamond"/>
          <w:bCs/>
          <w:sz w:val="24"/>
          <w:szCs w:val="24"/>
          <w:lang w:val="en-US"/>
        </w:rPr>
        <w:t>which</w:t>
      </w:r>
      <w:r>
        <w:rPr>
          <w:rFonts w:ascii="Garamond" w:hAnsi="Garamond"/>
          <w:bCs/>
          <w:sz w:val="24"/>
          <w:szCs w:val="24"/>
          <w:lang w:val="en-US"/>
        </w:rPr>
        <w:t xml:space="preserve"> was </w:t>
      </w:r>
      <w:r w:rsidRPr="004C3F29">
        <w:rPr>
          <w:rFonts w:ascii="Garamond" w:hAnsi="Garamond"/>
          <w:bCs/>
          <w:sz w:val="24"/>
          <w:szCs w:val="24"/>
          <w:lang w:val="en-US"/>
        </w:rPr>
        <w:t xml:space="preserve">published by </w:t>
      </w:r>
      <w:r>
        <w:rPr>
          <w:rFonts w:ascii="Garamond" w:hAnsi="Garamond"/>
          <w:bCs/>
          <w:sz w:val="24"/>
          <w:szCs w:val="24"/>
          <w:lang w:val="en-US"/>
        </w:rPr>
        <w:t>Oxford University Press:</w:t>
      </w:r>
      <w:r w:rsidRPr="00ED3641">
        <w:rPr>
          <w:rFonts w:ascii="Garamond" w:hAnsi="Garamond"/>
          <w:bCs/>
          <w:sz w:val="24"/>
          <w:szCs w:val="24"/>
          <w:lang w:val="en-US"/>
        </w:rPr>
        <w:t xml:space="preserve"> Educational crisis and Reform</w:t>
      </w:r>
      <w:r>
        <w:rPr>
          <w:rFonts w:ascii="Garamond" w:hAnsi="Garamond"/>
          <w:bCs/>
          <w:sz w:val="24"/>
          <w:szCs w:val="24"/>
          <w:lang w:val="en-US"/>
        </w:rPr>
        <w:t>.</w:t>
      </w:r>
      <w:r w:rsidRPr="004C3F29">
        <w:rPr>
          <w:rFonts w:ascii="Garamond" w:hAnsi="Garamond"/>
          <w:bCs/>
          <w:sz w:val="24"/>
          <w:szCs w:val="24"/>
          <w:lang w:val="en-US"/>
        </w:rPr>
        <w:t xml:space="preserve"> </w:t>
      </w:r>
      <w:r>
        <w:rPr>
          <w:rFonts w:ascii="Garamond" w:hAnsi="Garamond"/>
          <w:bCs/>
          <w:sz w:val="24"/>
          <w:szCs w:val="24"/>
          <w:lang w:val="en-US"/>
        </w:rPr>
        <w:t xml:space="preserve">This year CQE published the first of its biannual </w:t>
      </w:r>
      <w:r w:rsidR="009101E7" w:rsidRPr="004C3F29">
        <w:rPr>
          <w:rFonts w:ascii="Garamond" w:hAnsi="Garamond"/>
          <w:bCs/>
          <w:sz w:val="24"/>
          <w:szCs w:val="24"/>
          <w:lang w:val="en-US"/>
        </w:rPr>
        <w:t>Education Monitor</w:t>
      </w:r>
      <w:r>
        <w:rPr>
          <w:rFonts w:ascii="Garamond" w:hAnsi="Garamond"/>
          <w:bCs/>
          <w:sz w:val="24"/>
          <w:szCs w:val="24"/>
          <w:lang w:val="en-US"/>
        </w:rPr>
        <w:t xml:space="preserve"> Reports, which focuses</w:t>
      </w:r>
      <w:r w:rsidR="009101E7" w:rsidRPr="004C3F29">
        <w:rPr>
          <w:rFonts w:ascii="Garamond" w:hAnsi="Garamond"/>
          <w:bCs/>
          <w:sz w:val="24"/>
          <w:szCs w:val="24"/>
          <w:lang w:val="en-US"/>
        </w:rPr>
        <w:t xml:space="preserve"> on the key elements of quality at the school level, including teachers, te</w:t>
      </w:r>
      <w:r>
        <w:rPr>
          <w:rFonts w:ascii="Garamond" w:hAnsi="Garamond"/>
          <w:bCs/>
          <w:sz w:val="24"/>
          <w:szCs w:val="24"/>
          <w:lang w:val="en-US"/>
        </w:rPr>
        <w:t>xtbooks and assessment systems.</w:t>
      </w:r>
    </w:p>
    <w:p w14:paraId="55EEE0DD" w14:textId="265214B4" w:rsidR="00720BA1" w:rsidRPr="004C3F29" w:rsidRDefault="00720BA1" w:rsidP="009101E7">
      <w:pPr>
        <w:spacing w:line="276" w:lineRule="auto"/>
        <w:rPr>
          <w:rFonts w:ascii="Garamond" w:hAnsi="Garamond"/>
          <w:bCs/>
          <w:i/>
          <w:sz w:val="24"/>
          <w:szCs w:val="24"/>
          <w:lang w:val="en-US"/>
        </w:rPr>
      </w:pPr>
      <w:r>
        <w:rPr>
          <w:rFonts w:ascii="Garamond" w:hAnsi="Garamond"/>
          <w:bCs/>
          <w:sz w:val="24"/>
          <w:szCs w:val="24"/>
          <w:lang w:val="en-US"/>
        </w:rPr>
        <w:t xml:space="preserve">Much of ESP’s support for policy analysis and monitoring is carried out at the regional and global </w:t>
      </w:r>
      <w:r w:rsidR="00944425">
        <w:rPr>
          <w:rFonts w:ascii="Garamond" w:hAnsi="Garamond"/>
          <w:bCs/>
          <w:sz w:val="24"/>
          <w:szCs w:val="24"/>
          <w:lang w:val="en-US"/>
        </w:rPr>
        <w:t xml:space="preserve">levels </w:t>
      </w:r>
      <w:r>
        <w:rPr>
          <w:rFonts w:ascii="Garamond" w:hAnsi="Garamond"/>
          <w:bCs/>
          <w:sz w:val="24"/>
          <w:szCs w:val="24"/>
          <w:lang w:val="en-US"/>
        </w:rPr>
        <w:t xml:space="preserve">and are </w:t>
      </w:r>
      <w:r w:rsidR="00944425">
        <w:rPr>
          <w:rFonts w:ascii="Garamond" w:hAnsi="Garamond"/>
          <w:bCs/>
          <w:sz w:val="24"/>
          <w:szCs w:val="24"/>
          <w:lang w:val="en-US"/>
        </w:rPr>
        <w:t xml:space="preserve">in the </w:t>
      </w:r>
      <w:r>
        <w:rPr>
          <w:rFonts w:ascii="Garamond" w:hAnsi="Garamond"/>
          <w:bCs/>
          <w:sz w:val="24"/>
          <w:szCs w:val="24"/>
          <w:lang w:val="en-US"/>
        </w:rPr>
        <w:t>list of related grants to this portfolio review</w:t>
      </w:r>
      <w:r w:rsidR="00944425">
        <w:rPr>
          <w:rFonts w:ascii="Garamond" w:hAnsi="Garamond"/>
          <w:bCs/>
          <w:sz w:val="24"/>
          <w:szCs w:val="24"/>
          <w:lang w:val="en-US"/>
        </w:rPr>
        <w:t xml:space="preserve">. </w:t>
      </w:r>
      <w:r w:rsidR="005748CD">
        <w:rPr>
          <w:rFonts w:ascii="Garamond" w:hAnsi="Garamond"/>
          <w:bCs/>
          <w:sz w:val="24"/>
          <w:szCs w:val="24"/>
          <w:lang w:val="en-US"/>
        </w:rPr>
        <w:t>T</w:t>
      </w:r>
      <w:r>
        <w:rPr>
          <w:rFonts w:ascii="Garamond" w:hAnsi="Garamond"/>
          <w:bCs/>
          <w:sz w:val="24"/>
          <w:szCs w:val="24"/>
          <w:lang w:val="en-US"/>
        </w:rPr>
        <w:t xml:space="preserve">hese include our </w:t>
      </w:r>
      <w:r w:rsidR="00944425">
        <w:rPr>
          <w:rFonts w:ascii="Garamond" w:hAnsi="Garamond"/>
          <w:bCs/>
          <w:sz w:val="24"/>
          <w:szCs w:val="24"/>
          <w:lang w:val="en-US"/>
        </w:rPr>
        <w:t xml:space="preserve">grant </w:t>
      </w:r>
      <w:r>
        <w:rPr>
          <w:rFonts w:ascii="Garamond" w:hAnsi="Garamond"/>
          <w:bCs/>
          <w:sz w:val="24"/>
          <w:szCs w:val="24"/>
          <w:lang w:val="en-US"/>
        </w:rPr>
        <w:t>to the Tom Alexander Fellowships at the OECD, our support for the Global Education Monitoring Report, which is housed at UNESCO and our support for the Network of Policy Centre, that does regional comparative work, but whose members are very active at national level in their own countries. We have seen that the regional and global comparative work can make powerful contributions to national advocacy to influence policy. All governments want to compare well with others. At the same time, the advantag</w:t>
      </w:r>
      <w:r w:rsidR="005748CD">
        <w:rPr>
          <w:rFonts w:ascii="Garamond" w:hAnsi="Garamond"/>
          <w:bCs/>
          <w:sz w:val="24"/>
          <w:szCs w:val="24"/>
          <w:lang w:val="en-US"/>
        </w:rPr>
        <w:t>e of national-level policy work</w:t>
      </w:r>
      <w:r>
        <w:rPr>
          <w:rFonts w:ascii="Garamond" w:hAnsi="Garamond"/>
          <w:bCs/>
          <w:sz w:val="24"/>
          <w:szCs w:val="24"/>
          <w:lang w:val="en-US"/>
        </w:rPr>
        <w:t xml:space="preserve"> is the potential for connections with social movements</w:t>
      </w:r>
      <w:r w:rsidR="005748CD">
        <w:rPr>
          <w:rFonts w:ascii="Garamond" w:hAnsi="Garamond"/>
          <w:bCs/>
          <w:sz w:val="24"/>
          <w:szCs w:val="24"/>
          <w:lang w:val="en-US"/>
        </w:rPr>
        <w:t xml:space="preserve"> and the </w:t>
      </w:r>
      <w:r>
        <w:rPr>
          <w:rFonts w:ascii="Garamond" w:hAnsi="Garamond"/>
          <w:bCs/>
          <w:sz w:val="24"/>
          <w:szCs w:val="24"/>
          <w:lang w:val="en-US"/>
        </w:rPr>
        <w:t>better understanding</w:t>
      </w:r>
      <w:r w:rsidR="005748CD">
        <w:rPr>
          <w:rFonts w:ascii="Garamond" w:hAnsi="Garamond"/>
          <w:bCs/>
          <w:sz w:val="24"/>
          <w:szCs w:val="24"/>
          <w:lang w:val="en-US"/>
        </w:rPr>
        <w:t xml:space="preserve"> it provides</w:t>
      </w:r>
      <w:r>
        <w:rPr>
          <w:rFonts w:ascii="Garamond" w:hAnsi="Garamond"/>
          <w:bCs/>
          <w:sz w:val="24"/>
          <w:szCs w:val="24"/>
          <w:lang w:val="en-US"/>
        </w:rPr>
        <w:t xml:space="preserve"> of how to pitch advocacy messaging. Currently in </w:t>
      </w:r>
      <w:r w:rsidR="00944425">
        <w:rPr>
          <w:rFonts w:ascii="Garamond" w:hAnsi="Garamond"/>
          <w:bCs/>
          <w:sz w:val="24"/>
          <w:szCs w:val="24"/>
          <w:lang w:val="en-US"/>
        </w:rPr>
        <w:t xml:space="preserve">this </w:t>
      </w:r>
      <w:r w:rsidR="0029542A">
        <w:rPr>
          <w:rFonts w:ascii="Garamond" w:hAnsi="Garamond"/>
          <w:bCs/>
          <w:sz w:val="24"/>
          <w:szCs w:val="24"/>
          <w:lang w:val="en-US"/>
        </w:rPr>
        <w:t>port</w:t>
      </w:r>
      <w:r>
        <w:rPr>
          <w:rFonts w:ascii="Garamond" w:hAnsi="Garamond"/>
          <w:bCs/>
          <w:sz w:val="24"/>
          <w:szCs w:val="24"/>
          <w:lang w:val="en-US"/>
        </w:rPr>
        <w:t>folio, it is the social movements and national coalitions that know how to shift public opinion</w:t>
      </w:r>
      <w:r w:rsidR="00944425">
        <w:rPr>
          <w:rFonts w:ascii="Garamond" w:hAnsi="Garamond"/>
          <w:bCs/>
          <w:sz w:val="24"/>
          <w:szCs w:val="24"/>
          <w:lang w:val="en-US"/>
        </w:rPr>
        <w:t xml:space="preserve"> and </w:t>
      </w:r>
      <w:r>
        <w:rPr>
          <w:rFonts w:ascii="Garamond" w:hAnsi="Garamond"/>
          <w:bCs/>
          <w:sz w:val="24"/>
          <w:szCs w:val="24"/>
          <w:lang w:val="en-US"/>
        </w:rPr>
        <w:t xml:space="preserve">are able to combine activism with effective advocacy. </w:t>
      </w:r>
      <w:r w:rsidR="005748CD">
        <w:rPr>
          <w:rFonts w:ascii="Garamond" w:hAnsi="Garamond"/>
          <w:bCs/>
          <w:sz w:val="24"/>
          <w:szCs w:val="24"/>
          <w:lang w:val="en-US"/>
        </w:rPr>
        <w:t>RED and AE come from social movements.</w:t>
      </w:r>
      <w:r w:rsidR="0029542A">
        <w:rPr>
          <w:rFonts w:ascii="Garamond" w:hAnsi="Garamond"/>
          <w:bCs/>
          <w:sz w:val="24"/>
          <w:szCs w:val="24"/>
          <w:lang w:val="en-US"/>
        </w:rPr>
        <w:t xml:space="preserve"> RED</w:t>
      </w:r>
      <w:r w:rsidR="005748CD">
        <w:rPr>
          <w:rFonts w:ascii="Garamond" w:hAnsi="Garamond"/>
          <w:bCs/>
          <w:sz w:val="24"/>
          <w:szCs w:val="24"/>
          <w:lang w:val="en-US"/>
        </w:rPr>
        <w:t>,</w:t>
      </w:r>
      <w:r w:rsidR="0029542A">
        <w:rPr>
          <w:rFonts w:ascii="Garamond" w:hAnsi="Garamond"/>
          <w:bCs/>
          <w:sz w:val="24"/>
          <w:szCs w:val="24"/>
          <w:lang w:val="en-US"/>
        </w:rPr>
        <w:t xml:space="preserve"> particularly</w:t>
      </w:r>
      <w:r w:rsidR="005748CD">
        <w:rPr>
          <w:rFonts w:ascii="Garamond" w:hAnsi="Garamond"/>
          <w:bCs/>
          <w:sz w:val="24"/>
          <w:szCs w:val="24"/>
          <w:lang w:val="en-US"/>
        </w:rPr>
        <w:t>, wants</w:t>
      </w:r>
      <w:r w:rsidR="0029542A">
        <w:rPr>
          <w:rFonts w:ascii="Garamond" w:hAnsi="Garamond"/>
          <w:bCs/>
          <w:sz w:val="24"/>
          <w:szCs w:val="24"/>
          <w:lang w:val="en-US"/>
        </w:rPr>
        <w:t xml:space="preserve"> to reposition itself as a cr</w:t>
      </w:r>
      <w:r w:rsidR="005748CD">
        <w:rPr>
          <w:rFonts w:ascii="Garamond" w:hAnsi="Garamond"/>
          <w:bCs/>
          <w:sz w:val="24"/>
          <w:szCs w:val="24"/>
          <w:lang w:val="en-US"/>
        </w:rPr>
        <w:t>edible and still critical voice</w:t>
      </w:r>
      <w:r w:rsidR="0029542A">
        <w:rPr>
          <w:rFonts w:ascii="Garamond" w:hAnsi="Garamond"/>
          <w:bCs/>
          <w:sz w:val="24"/>
          <w:szCs w:val="24"/>
          <w:lang w:val="en-US"/>
        </w:rPr>
        <w:t xml:space="preserve"> no</w:t>
      </w:r>
      <w:r w:rsidR="00944425">
        <w:rPr>
          <w:rFonts w:ascii="Garamond" w:hAnsi="Garamond"/>
          <w:bCs/>
          <w:sz w:val="24"/>
          <w:szCs w:val="24"/>
          <w:lang w:val="en-US"/>
        </w:rPr>
        <w:t>w</w:t>
      </w:r>
      <w:r w:rsidR="0029542A">
        <w:rPr>
          <w:rFonts w:ascii="Garamond" w:hAnsi="Garamond"/>
          <w:bCs/>
          <w:sz w:val="24"/>
          <w:szCs w:val="24"/>
          <w:lang w:val="en-US"/>
        </w:rPr>
        <w:t xml:space="preserve"> that many of its close associates are in government. </w:t>
      </w:r>
    </w:p>
    <w:p w14:paraId="0F9095E9" w14:textId="0B116392" w:rsidR="00A34B9A" w:rsidRPr="00FC49B7" w:rsidRDefault="006C24DB" w:rsidP="007F6BD5">
      <w:pPr>
        <w:pStyle w:val="ListParagraph"/>
        <w:numPr>
          <w:ilvl w:val="0"/>
          <w:numId w:val="10"/>
        </w:numPr>
        <w:tabs>
          <w:tab w:val="left" w:pos="3936"/>
          <w:tab w:val="left" w:pos="5467"/>
        </w:tabs>
        <w:spacing w:before="240" w:line="276" w:lineRule="auto"/>
        <w:ind w:left="714" w:hanging="357"/>
        <w:rPr>
          <w:rFonts w:ascii="Garamond" w:hAnsi="Garamond"/>
          <w:b/>
          <w:bCs/>
          <w:i/>
          <w:sz w:val="24"/>
          <w:szCs w:val="24"/>
        </w:rPr>
      </w:pPr>
      <w:r w:rsidRPr="00FC49B7">
        <w:rPr>
          <w:rFonts w:ascii="Garamond" w:hAnsi="Garamond"/>
          <w:b/>
          <w:bCs/>
          <w:i/>
          <w:sz w:val="24"/>
          <w:szCs w:val="24"/>
        </w:rPr>
        <w:t>Direct Technical Assistance to G</w:t>
      </w:r>
      <w:r w:rsidR="00A34B9A" w:rsidRPr="00FC49B7">
        <w:rPr>
          <w:rFonts w:ascii="Garamond" w:hAnsi="Garamond"/>
          <w:b/>
          <w:bCs/>
          <w:i/>
          <w:sz w:val="24"/>
          <w:szCs w:val="24"/>
        </w:rPr>
        <w:t>overnments</w:t>
      </w:r>
    </w:p>
    <w:p w14:paraId="0186AD20" w14:textId="4984A3B4" w:rsidR="000309C3" w:rsidRDefault="007F6BD5" w:rsidP="00A34B9A">
      <w:pPr>
        <w:spacing w:line="276" w:lineRule="auto"/>
        <w:rPr>
          <w:rFonts w:ascii="Garamond" w:hAnsi="Garamond"/>
          <w:bCs/>
          <w:sz w:val="24"/>
          <w:szCs w:val="24"/>
        </w:rPr>
      </w:pPr>
      <w:r>
        <w:rPr>
          <w:rFonts w:ascii="Garamond" w:hAnsi="Garamond"/>
          <w:bCs/>
          <w:sz w:val="24"/>
          <w:szCs w:val="24"/>
        </w:rPr>
        <w:t>Most of our key grants and consultancies that provide direct technical assistance to governments</w:t>
      </w:r>
      <w:r w:rsidR="000309C3">
        <w:rPr>
          <w:rFonts w:ascii="Garamond" w:hAnsi="Garamond"/>
          <w:bCs/>
          <w:sz w:val="24"/>
          <w:szCs w:val="24"/>
        </w:rPr>
        <w:t xml:space="preserve"> were reviewed at a meeting of the GEAB in March 2015, entitled</w:t>
      </w:r>
      <w:r>
        <w:rPr>
          <w:rFonts w:ascii="Garamond" w:hAnsi="Garamond"/>
          <w:bCs/>
          <w:sz w:val="24"/>
          <w:szCs w:val="24"/>
        </w:rPr>
        <w:t xml:space="preserve"> </w:t>
      </w:r>
      <w:r w:rsidRPr="007F6BD5">
        <w:rPr>
          <w:rFonts w:ascii="Garamond" w:hAnsi="Garamond"/>
          <w:bCs/>
          <w:sz w:val="24"/>
          <w:szCs w:val="24"/>
        </w:rPr>
        <w:t>“ESP’s Technical Assistance to Governments</w:t>
      </w:r>
      <w:r w:rsidR="000309C3">
        <w:rPr>
          <w:rFonts w:ascii="Garamond" w:hAnsi="Garamond"/>
          <w:bCs/>
          <w:sz w:val="24"/>
          <w:szCs w:val="24"/>
        </w:rPr>
        <w:t>: Liberia, Moldova</w:t>
      </w:r>
      <w:r w:rsidRPr="007F6BD5">
        <w:rPr>
          <w:rFonts w:ascii="Garamond" w:hAnsi="Garamond"/>
          <w:bCs/>
          <w:sz w:val="24"/>
          <w:szCs w:val="24"/>
        </w:rPr>
        <w:t xml:space="preserve"> </w:t>
      </w:r>
      <w:r w:rsidR="000309C3">
        <w:rPr>
          <w:rFonts w:ascii="Garamond" w:hAnsi="Garamond"/>
          <w:bCs/>
          <w:sz w:val="24"/>
          <w:szCs w:val="24"/>
        </w:rPr>
        <w:t xml:space="preserve">and </w:t>
      </w:r>
      <w:r w:rsidRPr="007F6BD5">
        <w:rPr>
          <w:rFonts w:ascii="Garamond" w:hAnsi="Garamond"/>
          <w:bCs/>
          <w:sz w:val="24"/>
          <w:szCs w:val="24"/>
        </w:rPr>
        <w:t>Burma”</w:t>
      </w:r>
      <w:r w:rsidR="000309C3">
        <w:rPr>
          <w:rFonts w:ascii="Garamond" w:hAnsi="Garamond"/>
          <w:bCs/>
          <w:sz w:val="24"/>
          <w:szCs w:val="24"/>
        </w:rPr>
        <w:t xml:space="preserve">. We do not intend to review them again </w:t>
      </w:r>
      <w:proofErr w:type="gramStart"/>
      <w:r w:rsidR="000309C3">
        <w:rPr>
          <w:rFonts w:ascii="Garamond" w:hAnsi="Garamond"/>
          <w:bCs/>
          <w:sz w:val="24"/>
          <w:szCs w:val="24"/>
        </w:rPr>
        <w:t>here,</w:t>
      </w:r>
      <w:proofErr w:type="gramEnd"/>
      <w:r w:rsidR="000309C3">
        <w:rPr>
          <w:rFonts w:ascii="Garamond" w:hAnsi="Garamond"/>
          <w:bCs/>
          <w:sz w:val="24"/>
          <w:szCs w:val="24"/>
        </w:rPr>
        <w:t xml:space="preserve"> however, given the five approaches to influencing government policy we have just addressed, it</w:t>
      </w:r>
      <w:r w:rsidR="005748CD">
        <w:rPr>
          <w:rFonts w:ascii="Garamond" w:hAnsi="Garamond"/>
          <w:bCs/>
          <w:sz w:val="24"/>
          <w:szCs w:val="24"/>
        </w:rPr>
        <w:t xml:space="preserve"> would be remiss not to include brief reflections and </w:t>
      </w:r>
      <w:r w:rsidR="000309C3">
        <w:rPr>
          <w:rFonts w:ascii="Garamond" w:hAnsi="Garamond"/>
          <w:bCs/>
          <w:sz w:val="24"/>
          <w:szCs w:val="24"/>
        </w:rPr>
        <w:t xml:space="preserve">updates. </w:t>
      </w:r>
    </w:p>
    <w:p w14:paraId="7AE6B319" w14:textId="622DF161" w:rsidR="00A46B5D" w:rsidRDefault="000309C3" w:rsidP="00A34B9A">
      <w:pPr>
        <w:spacing w:line="276" w:lineRule="auto"/>
        <w:rPr>
          <w:rFonts w:ascii="Garamond" w:hAnsi="Garamond"/>
          <w:bCs/>
          <w:sz w:val="24"/>
          <w:szCs w:val="24"/>
          <w:lang w:val="en-US"/>
        </w:rPr>
      </w:pPr>
      <w:r>
        <w:rPr>
          <w:rFonts w:ascii="Garamond" w:hAnsi="Garamond"/>
          <w:bCs/>
          <w:sz w:val="24"/>
          <w:szCs w:val="24"/>
        </w:rPr>
        <w:t xml:space="preserve">Our support for Liberia, Burma and Moldova, was in response to a request from George Soros to support the political transitions in those countries. Certainly in the case of Moldova, but especially Liberia, our subsequent engagement required considerable staff time and </w:t>
      </w:r>
      <w:r w:rsidR="00A46B5D">
        <w:rPr>
          <w:rFonts w:ascii="Garamond" w:hAnsi="Garamond"/>
          <w:bCs/>
          <w:sz w:val="24"/>
          <w:szCs w:val="24"/>
        </w:rPr>
        <w:t xml:space="preserve">resources. Burma, so far, </w:t>
      </w:r>
      <w:r w:rsidR="00944425">
        <w:rPr>
          <w:rFonts w:ascii="Garamond" w:hAnsi="Garamond"/>
          <w:bCs/>
          <w:sz w:val="24"/>
          <w:szCs w:val="24"/>
        </w:rPr>
        <w:t>was approached differently, in spite of the request for direct engagement,</w:t>
      </w:r>
      <w:r w:rsidR="00A46B5D">
        <w:rPr>
          <w:rFonts w:ascii="Garamond" w:hAnsi="Garamond"/>
          <w:bCs/>
          <w:sz w:val="24"/>
          <w:szCs w:val="24"/>
        </w:rPr>
        <w:t xml:space="preserve"> and our support consists of a single grant to the education ministry to support the Comprehensive Education Sector Review (</w:t>
      </w:r>
      <w:r w:rsidR="00944425">
        <w:rPr>
          <w:rFonts w:ascii="Garamond" w:hAnsi="Garamond"/>
          <w:bCs/>
          <w:sz w:val="24"/>
          <w:szCs w:val="24"/>
        </w:rPr>
        <w:t>CESR</w:t>
      </w:r>
      <w:r w:rsidR="00A46B5D">
        <w:rPr>
          <w:rFonts w:ascii="Garamond" w:hAnsi="Garamond"/>
          <w:bCs/>
          <w:sz w:val="24"/>
          <w:szCs w:val="24"/>
        </w:rPr>
        <w:t>)</w:t>
      </w:r>
      <w:r w:rsidR="00944425">
        <w:rPr>
          <w:rFonts w:ascii="Garamond" w:hAnsi="Garamond"/>
          <w:bCs/>
          <w:sz w:val="24"/>
          <w:szCs w:val="24"/>
        </w:rPr>
        <w:t>, which sought to expand enable increased engagement from national education specialists in the development of education sector plan and associated policies, which was previously a donor-dominated process</w:t>
      </w:r>
      <w:r w:rsidR="00A46B5D">
        <w:rPr>
          <w:rFonts w:ascii="Garamond" w:hAnsi="Garamond"/>
          <w:bCs/>
          <w:sz w:val="24"/>
          <w:szCs w:val="24"/>
        </w:rPr>
        <w:t xml:space="preserve">. Our funding </w:t>
      </w:r>
      <w:r w:rsidR="00A46B5D" w:rsidRPr="00A34B9A">
        <w:rPr>
          <w:rFonts w:ascii="Garamond" w:hAnsi="Garamond"/>
          <w:bCs/>
          <w:sz w:val="24"/>
          <w:szCs w:val="24"/>
          <w:lang w:val="en-US"/>
        </w:rPr>
        <w:t xml:space="preserve">enabled </w:t>
      </w:r>
      <w:r w:rsidR="00A46B5D">
        <w:rPr>
          <w:rFonts w:ascii="Garamond" w:hAnsi="Garamond"/>
          <w:bCs/>
          <w:sz w:val="24"/>
          <w:szCs w:val="24"/>
          <w:lang w:val="en-US"/>
        </w:rPr>
        <w:t xml:space="preserve">the </w:t>
      </w:r>
      <w:r w:rsidR="00A46B5D" w:rsidRPr="00A34B9A">
        <w:rPr>
          <w:rFonts w:ascii="Garamond" w:hAnsi="Garamond"/>
          <w:bCs/>
          <w:sz w:val="24"/>
          <w:szCs w:val="24"/>
          <w:lang w:val="en-US"/>
        </w:rPr>
        <w:t>CESR to formally engage a core group of 26 senior national education advisers</w:t>
      </w:r>
      <w:r w:rsidR="00DE5C16">
        <w:rPr>
          <w:rFonts w:ascii="Garamond" w:hAnsi="Garamond"/>
          <w:bCs/>
          <w:sz w:val="24"/>
          <w:szCs w:val="24"/>
          <w:lang w:val="en-US"/>
        </w:rPr>
        <w:t xml:space="preserve"> in the review process. We </w:t>
      </w:r>
      <w:r w:rsidR="00DE5C16">
        <w:rPr>
          <w:rFonts w:ascii="Garamond" w:hAnsi="Garamond"/>
          <w:bCs/>
          <w:sz w:val="24"/>
          <w:szCs w:val="24"/>
          <w:lang w:val="en-US"/>
        </w:rPr>
        <w:lastRenderedPageBreak/>
        <w:t xml:space="preserve">were very determined to </w:t>
      </w:r>
      <w:r w:rsidR="00944425">
        <w:rPr>
          <w:rFonts w:ascii="Garamond" w:hAnsi="Garamond"/>
          <w:bCs/>
          <w:sz w:val="24"/>
          <w:szCs w:val="24"/>
          <w:lang w:val="en-US"/>
        </w:rPr>
        <w:t xml:space="preserve">address the undue influence and incorporation of donor interests in the landmark sector plan and ensure that national priorities and knowledge were adequately reflected.  </w:t>
      </w:r>
      <w:r w:rsidR="00DE5C16">
        <w:rPr>
          <w:rFonts w:ascii="Garamond" w:hAnsi="Garamond"/>
          <w:bCs/>
          <w:sz w:val="24"/>
          <w:szCs w:val="24"/>
          <w:lang w:val="en-US"/>
        </w:rPr>
        <w:t>This feature of the work is also strongly reflected in the work in Liberia and Moldova, where ESP had to provide in-house expertise and rely on people in the wider OSF network that we know we can trust.</w:t>
      </w:r>
    </w:p>
    <w:p w14:paraId="1FA3E82C" w14:textId="154BFBE8" w:rsidR="006C24DB" w:rsidRPr="002E289D" w:rsidRDefault="00DE5C16" w:rsidP="006C24DB">
      <w:pPr>
        <w:spacing w:line="276" w:lineRule="auto"/>
        <w:rPr>
          <w:rFonts w:ascii="Garamond" w:hAnsi="Garamond"/>
          <w:bCs/>
          <w:sz w:val="24"/>
          <w:szCs w:val="24"/>
          <w:lang w:val="en-US"/>
        </w:rPr>
      </w:pPr>
      <w:r>
        <w:rPr>
          <w:rFonts w:ascii="Garamond" w:hAnsi="Garamond"/>
          <w:bCs/>
          <w:sz w:val="24"/>
          <w:szCs w:val="24"/>
          <w:lang w:val="en-US"/>
        </w:rPr>
        <w:t>Other opportunities for direct technical assistance to government aris</w:t>
      </w:r>
      <w:r w:rsidR="005748CD">
        <w:rPr>
          <w:rFonts w:ascii="Garamond" w:hAnsi="Garamond"/>
          <w:bCs/>
          <w:sz w:val="24"/>
          <w:szCs w:val="24"/>
          <w:lang w:val="en-US"/>
        </w:rPr>
        <w:t>e from time to time in our work, these include</w:t>
      </w:r>
      <w:r>
        <w:rPr>
          <w:rFonts w:ascii="Garamond" w:hAnsi="Garamond"/>
          <w:bCs/>
          <w:sz w:val="24"/>
          <w:szCs w:val="24"/>
          <w:lang w:val="en-US"/>
        </w:rPr>
        <w:t xml:space="preserve">: advancing education inclusion in Mongolia, the National Testing Centre in Tajikistan, and </w:t>
      </w:r>
      <w:r w:rsidR="001704F2">
        <w:rPr>
          <w:rFonts w:ascii="Garamond" w:hAnsi="Garamond"/>
          <w:bCs/>
          <w:sz w:val="24"/>
          <w:szCs w:val="24"/>
          <w:lang w:val="en-US"/>
        </w:rPr>
        <w:t>s</w:t>
      </w:r>
      <w:r>
        <w:rPr>
          <w:rFonts w:ascii="Garamond" w:hAnsi="Garamond"/>
          <w:bCs/>
          <w:sz w:val="24"/>
          <w:szCs w:val="24"/>
          <w:lang w:val="en-US"/>
        </w:rPr>
        <w:t>trengthening teaching practice in Malawi and Zambia</w:t>
      </w:r>
      <w:r w:rsidR="001704F2">
        <w:rPr>
          <w:rFonts w:ascii="Garamond" w:hAnsi="Garamond"/>
          <w:bCs/>
          <w:sz w:val="24"/>
          <w:szCs w:val="24"/>
          <w:lang w:val="en-US"/>
        </w:rPr>
        <w:t>. In each of these cases, we feel our work with a receptive government positions us well to influence not only the quality and inclusiveness of public policy formulations, but potentially their implementation. This is particularly the case in Mongolia where</w:t>
      </w:r>
      <w:r w:rsidR="00214E2E">
        <w:rPr>
          <w:rFonts w:ascii="Garamond" w:hAnsi="Garamond"/>
          <w:bCs/>
          <w:sz w:val="24"/>
          <w:szCs w:val="24"/>
          <w:lang w:val="en-US"/>
        </w:rPr>
        <w:t>,</w:t>
      </w:r>
      <w:r w:rsidR="001704F2">
        <w:rPr>
          <w:rFonts w:ascii="Garamond" w:hAnsi="Garamond"/>
          <w:bCs/>
          <w:sz w:val="24"/>
          <w:szCs w:val="24"/>
          <w:lang w:val="en-US"/>
        </w:rPr>
        <w:t xml:space="preserve"> </w:t>
      </w:r>
      <w:r w:rsidR="001704F2" w:rsidRPr="00214E2E">
        <w:rPr>
          <w:rFonts w:ascii="Garamond" w:hAnsi="Garamond"/>
          <w:bCs/>
          <w:sz w:val="24"/>
          <w:szCs w:val="24"/>
          <w:lang w:val="en-US"/>
        </w:rPr>
        <w:t xml:space="preserve">with </w:t>
      </w:r>
      <w:r w:rsidR="00214E2E">
        <w:rPr>
          <w:rFonts w:ascii="Garamond" w:hAnsi="Garamond"/>
          <w:bCs/>
          <w:sz w:val="24"/>
          <w:szCs w:val="24"/>
          <w:lang w:val="en-US"/>
        </w:rPr>
        <w:t>ECP,</w:t>
      </w:r>
      <w:r w:rsidRPr="00214E2E">
        <w:rPr>
          <w:rFonts w:ascii="Garamond" w:hAnsi="Garamond"/>
          <w:bCs/>
          <w:sz w:val="24"/>
          <w:szCs w:val="24"/>
          <w:lang w:val="en-US"/>
        </w:rPr>
        <w:t xml:space="preserve"> </w:t>
      </w:r>
      <w:r w:rsidR="00214E2E">
        <w:rPr>
          <w:rFonts w:ascii="Garamond" w:hAnsi="Garamond"/>
          <w:bCs/>
          <w:sz w:val="24"/>
          <w:szCs w:val="24"/>
          <w:lang w:val="en-US"/>
        </w:rPr>
        <w:t xml:space="preserve">we </w:t>
      </w:r>
      <w:r w:rsidRPr="00214E2E">
        <w:rPr>
          <w:rFonts w:ascii="Garamond" w:hAnsi="Garamond"/>
          <w:bCs/>
          <w:sz w:val="24"/>
          <w:szCs w:val="24"/>
          <w:lang w:val="en-US"/>
        </w:rPr>
        <w:t>support</w:t>
      </w:r>
      <w:r w:rsidR="00214E2E" w:rsidRPr="00214E2E">
        <w:rPr>
          <w:rFonts w:ascii="Garamond" w:hAnsi="Garamond"/>
          <w:bCs/>
          <w:sz w:val="24"/>
          <w:szCs w:val="24"/>
          <w:lang w:val="en-US"/>
        </w:rPr>
        <w:t>ed</w:t>
      </w:r>
      <w:r w:rsidRPr="00214E2E">
        <w:rPr>
          <w:rFonts w:ascii="Garamond" w:hAnsi="Garamond"/>
          <w:bCs/>
          <w:sz w:val="24"/>
          <w:szCs w:val="24"/>
          <w:lang w:val="en-US"/>
        </w:rPr>
        <w:t xml:space="preserve"> the Government </w:t>
      </w:r>
      <w:r w:rsidR="00FD18F2">
        <w:rPr>
          <w:rFonts w:ascii="Garamond" w:hAnsi="Garamond"/>
          <w:bCs/>
          <w:sz w:val="24"/>
          <w:szCs w:val="24"/>
          <w:lang w:val="en-US"/>
        </w:rPr>
        <w:t>to build a national center for support to children with the ultimate goal of</w:t>
      </w:r>
      <w:r w:rsidR="00214E2E">
        <w:rPr>
          <w:rFonts w:ascii="Garamond" w:hAnsi="Garamond"/>
          <w:bCs/>
          <w:sz w:val="24"/>
          <w:szCs w:val="24"/>
          <w:lang w:val="en-US"/>
        </w:rPr>
        <w:t xml:space="preserve"> redeployment of </w:t>
      </w:r>
      <w:r w:rsidRPr="00214E2E">
        <w:rPr>
          <w:rFonts w:ascii="Garamond" w:hAnsi="Garamond"/>
          <w:bCs/>
          <w:sz w:val="24"/>
          <w:szCs w:val="24"/>
          <w:lang w:val="en-US"/>
        </w:rPr>
        <w:t>resources and expertise from special schools to support</w:t>
      </w:r>
      <w:r w:rsidR="00214E2E">
        <w:rPr>
          <w:rFonts w:ascii="Garamond" w:hAnsi="Garamond"/>
          <w:bCs/>
          <w:sz w:val="24"/>
          <w:szCs w:val="24"/>
          <w:lang w:val="en-US"/>
        </w:rPr>
        <w:t xml:space="preserve"> the</w:t>
      </w:r>
      <w:r w:rsidRPr="00214E2E">
        <w:rPr>
          <w:rFonts w:ascii="Garamond" w:hAnsi="Garamond"/>
          <w:bCs/>
          <w:sz w:val="24"/>
          <w:szCs w:val="24"/>
          <w:lang w:val="en-US"/>
        </w:rPr>
        <w:t xml:space="preserve"> integration of children with special needs in mainstream school</w:t>
      </w:r>
      <w:r w:rsidR="00214E2E">
        <w:rPr>
          <w:rFonts w:ascii="Garamond" w:hAnsi="Garamond"/>
          <w:bCs/>
          <w:sz w:val="24"/>
          <w:szCs w:val="24"/>
          <w:lang w:val="en-US"/>
        </w:rPr>
        <w:t>s.</w:t>
      </w:r>
      <w:r w:rsidRPr="00214E2E">
        <w:rPr>
          <w:rFonts w:ascii="Garamond" w:hAnsi="Garamond"/>
          <w:bCs/>
          <w:sz w:val="24"/>
          <w:szCs w:val="24"/>
          <w:lang w:val="en-US"/>
        </w:rPr>
        <w:t xml:space="preserve"> </w:t>
      </w:r>
      <w:r w:rsidR="00214E2E">
        <w:rPr>
          <w:rFonts w:ascii="Garamond" w:hAnsi="Garamond"/>
          <w:bCs/>
          <w:sz w:val="24"/>
          <w:szCs w:val="24"/>
          <w:lang w:val="en-US"/>
        </w:rPr>
        <w:t>Our</w:t>
      </w:r>
      <w:r w:rsidRPr="00214E2E">
        <w:rPr>
          <w:rFonts w:ascii="Garamond" w:hAnsi="Garamond"/>
          <w:bCs/>
          <w:sz w:val="24"/>
          <w:szCs w:val="24"/>
          <w:lang w:val="en-US"/>
        </w:rPr>
        <w:t xml:space="preserve"> funds </w:t>
      </w:r>
      <w:r w:rsidR="001704F2" w:rsidRPr="00214E2E">
        <w:rPr>
          <w:rFonts w:ascii="Garamond" w:hAnsi="Garamond"/>
          <w:bCs/>
          <w:sz w:val="24"/>
          <w:szCs w:val="24"/>
          <w:lang w:val="en-US"/>
        </w:rPr>
        <w:t>were also</w:t>
      </w:r>
      <w:r w:rsidR="00214E2E">
        <w:rPr>
          <w:rFonts w:ascii="Garamond" w:hAnsi="Garamond"/>
          <w:bCs/>
          <w:sz w:val="24"/>
          <w:szCs w:val="24"/>
          <w:lang w:val="en-US"/>
        </w:rPr>
        <w:t xml:space="preserve"> used</w:t>
      </w:r>
      <w:r w:rsidRPr="00214E2E">
        <w:rPr>
          <w:rFonts w:ascii="Garamond" w:hAnsi="Garamond"/>
          <w:bCs/>
          <w:sz w:val="24"/>
          <w:szCs w:val="24"/>
          <w:lang w:val="en-US"/>
        </w:rPr>
        <w:t xml:space="preserve"> to generate </w:t>
      </w:r>
      <w:r w:rsidR="00214E2E">
        <w:rPr>
          <w:rFonts w:ascii="Garamond" w:hAnsi="Garamond"/>
          <w:bCs/>
          <w:sz w:val="24"/>
          <w:szCs w:val="24"/>
          <w:lang w:val="en-US"/>
        </w:rPr>
        <w:t>public</w:t>
      </w:r>
      <w:r w:rsidRPr="00214E2E">
        <w:rPr>
          <w:rFonts w:ascii="Garamond" w:hAnsi="Garamond"/>
          <w:bCs/>
          <w:sz w:val="24"/>
          <w:szCs w:val="24"/>
          <w:lang w:val="en-US"/>
        </w:rPr>
        <w:t xml:space="preserve"> support for inclusion </w:t>
      </w:r>
      <w:r w:rsidR="00214E2E">
        <w:rPr>
          <w:rFonts w:ascii="Garamond" w:hAnsi="Garamond"/>
          <w:bCs/>
          <w:sz w:val="24"/>
          <w:szCs w:val="24"/>
          <w:lang w:val="en-US"/>
        </w:rPr>
        <w:t>in rural areas</w:t>
      </w:r>
      <w:r w:rsidRPr="00214E2E">
        <w:rPr>
          <w:rFonts w:ascii="Garamond" w:hAnsi="Garamond"/>
          <w:bCs/>
          <w:sz w:val="24"/>
          <w:szCs w:val="24"/>
          <w:lang w:val="en-US"/>
        </w:rPr>
        <w:t>.</w:t>
      </w:r>
      <w:r w:rsidR="00214E2E">
        <w:rPr>
          <w:rFonts w:ascii="Garamond" w:hAnsi="Garamond"/>
          <w:bCs/>
          <w:sz w:val="24"/>
          <w:szCs w:val="24"/>
          <w:lang w:val="en-US"/>
        </w:rPr>
        <w:t xml:space="preserve"> In Tajikistan, we provided support for the national foundation</w:t>
      </w:r>
      <w:r w:rsidR="00FD18F2">
        <w:rPr>
          <w:rFonts w:ascii="Garamond" w:hAnsi="Garamond"/>
          <w:bCs/>
          <w:sz w:val="24"/>
          <w:szCs w:val="24"/>
          <w:lang w:val="en-US"/>
        </w:rPr>
        <w:t>’</w:t>
      </w:r>
      <w:r w:rsidR="00214E2E">
        <w:rPr>
          <w:rFonts w:ascii="Garamond" w:hAnsi="Garamond"/>
          <w:bCs/>
          <w:sz w:val="24"/>
          <w:szCs w:val="24"/>
          <w:lang w:val="en-US"/>
        </w:rPr>
        <w:t xml:space="preserve">s efforts to establish the National Testing Centre. The purpose of the </w:t>
      </w:r>
      <w:proofErr w:type="spellStart"/>
      <w:r w:rsidR="00214E2E">
        <w:rPr>
          <w:rFonts w:ascii="Garamond" w:hAnsi="Garamond"/>
          <w:bCs/>
          <w:sz w:val="24"/>
          <w:szCs w:val="24"/>
          <w:lang w:val="en-US"/>
        </w:rPr>
        <w:t>centre</w:t>
      </w:r>
      <w:proofErr w:type="spellEnd"/>
      <w:r w:rsidR="00214E2E">
        <w:rPr>
          <w:rFonts w:ascii="Garamond" w:hAnsi="Garamond"/>
          <w:bCs/>
          <w:sz w:val="24"/>
          <w:szCs w:val="24"/>
          <w:lang w:val="en-US"/>
        </w:rPr>
        <w:t xml:space="preserve"> was</w:t>
      </w:r>
      <w:r w:rsidR="002E289D">
        <w:rPr>
          <w:rFonts w:ascii="Garamond" w:hAnsi="Garamond"/>
          <w:bCs/>
          <w:sz w:val="24"/>
          <w:szCs w:val="24"/>
          <w:lang w:val="en-US"/>
        </w:rPr>
        <w:t xml:space="preserve"> to</w:t>
      </w:r>
      <w:r w:rsidR="00214E2E">
        <w:rPr>
          <w:rFonts w:ascii="Garamond" w:hAnsi="Garamond"/>
          <w:bCs/>
          <w:sz w:val="24"/>
          <w:szCs w:val="24"/>
          <w:lang w:val="en-US"/>
        </w:rPr>
        <w:t xml:space="preserve"> provide a way both to support education quality through putting in place reliable testing systems and to stop corruption around admissions. </w:t>
      </w:r>
      <w:r w:rsidR="002E289D">
        <w:rPr>
          <w:rFonts w:ascii="Garamond" w:hAnsi="Garamond"/>
          <w:bCs/>
          <w:sz w:val="24"/>
          <w:szCs w:val="24"/>
          <w:lang w:val="en-US"/>
        </w:rPr>
        <w:t xml:space="preserve">Our main contribution was to provide technical advice through a former board member but this proved costly to maintain. </w:t>
      </w:r>
      <w:r w:rsidR="002E289D">
        <w:rPr>
          <w:rFonts w:ascii="Garamond" w:hAnsi="Garamond"/>
          <w:bCs/>
          <w:sz w:val="24"/>
          <w:szCs w:val="24"/>
        </w:rPr>
        <w:t xml:space="preserve">We have been directly involved </w:t>
      </w:r>
      <w:r w:rsidR="002E289D" w:rsidRPr="006C24DB">
        <w:rPr>
          <w:rFonts w:ascii="Garamond" w:hAnsi="Garamond"/>
          <w:bCs/>
          <w:sz w:val="24"/>
          <w:szCs w:val="24"/>
        </w:rPr>
        <w:t>with OSISA,</w:t>
      </w:r>
      <w:r w:rsidR="002E289D">
        <w:rPr>
          <w:rFonts w:ascii="Garamond" w:hAnsi="Garamond"/>
          <w:bCs/>
          <w:sz w:val="24"/>
          <w:szCs w:val="24"/>
        </w:rPr>
        <w:t xml:space="preserve"> since 2012, to support efforts of</w:t>
      </w:r>
      <w:r w:rsidR="006C24DB" w:rsidRPr="006C24DB">
        <w:rPr>
          <w:rFonts w:ascii="Garamond" w:hAnsi="Garamond"/>
          <w:bCs/>
          <w:sz w:val="24"/>
          <w:szCs w:val="24"/>
        </w:rPr>
        <w:t xml:space="preserve"> the Ministries of Education, Science and Technology (</w:t>
      </w:r>
      <w:proofErr w:type="spellStart"/>
      <w:r w:rsidR="006C24DB" w:rsidRPr="006C24DB">
        <w:rPr>
          <w:rFonts w:ascii="Garamond" w:hAnsi="Garamond"/>
          <w:bCs/>
          <w:sz w:val="24"/>
          <w:szCs w:val="24"/>
        </w:rPr>
        <w:t>MoEST</w:t>
      </w:r>
      <w:proofErr w:type="spellEnd"/>
      <w:r w:rsidR="006C24DB" w:rsidRPr="006C24DB">
        <w:rPr>
          <w:rFonts w:ascii="Garamond" w:hAnsi="Garamond"/>
          <w:bCs/>
          <w:sz w:val="24"/>
          <w:szCs w:val="24"/>
        </w:rPr>
        <w:t xml:space="preserve">) in Zambia and Malawi to strengthen teaching and learning and improve student learning outcomes. </w:t>
      </w:r>
      <w:r w:rsidR="002E289D">
        <w:rPr>
          <w:rFonts w:ascii="Garamond" w:hAnsi="Garamond"/>
          <w:bCs/>
          <w:sz w:val="24"/>
          <w:szCs w:val="24"/>
        </w:rPr>
        <w:t>We actively engaged the Malawi government in their efforts to make the</w:t>
      </w:r>
      <w:r w:rsidR="006C24DB" w:rsidRPr="006C24DB">
        <w:rPr>
          <w:rFonts w:ascii="Garamond" w:hAnsi="Garamond"/>
          <w:bCs/>
          <w:sz w:val="24"/>
          <w:szCs w:val="24"/>
        </w:rPr>
        <w:t xml:space="preserve"> systemic changes </w:t>
      </w:r>
      <w:r w:rsidR="002E289D">
        <w:rPr>
          <w:rFonts w:ascii="Garamond" w:hAnsi="Garamond"/>
          <w:bCs/>
          <w:sz w:val="24"/>
          <w:szCs w:val="24"/>
        </w:rPr>
        <w:t>that will inculcate</w:t>
      </w:r>
      <w:r w:rsidR="006C24DB" w:rsidRPr="006C24DB">
        <w:rPr>
          <w:rFonts w:ascii="Garamond" w:hAnsi="Garamond"/>
          <w:bCs/>
          <w:sz w:val="24"/>
          <w:szCs w:val="24"/>
        </w:rPr>
        <w:t xml:space="preserve"> </w:t>
      </w:r>
      <w:r w:rsidR="002E289D">
        <w:rPr>
          <w:rFonts w:ascii="Garamond" w:hAnsi="Garamond"/>
          <w:bCs/>
          <w:sz w:val="24"/>
          <w:szCs w:val="24"/>
        </w:rPr>
        <w:t xml:space="preserve">a </w:t>
      </w:r>
      <w:r w:rsidR="006C24DB" w:rsidRPr="006C24DB">
        <w:rPr>
          <w:rFonts w:ascii="Garamond" w:hAnsi="Garamond"/>
          <w:bCs/>
          <w:sz w:val="24"/>
          <w:szCs w:val="24"/>
        </w:rPr>
        <w:t>critical thinking</w:t>
      </w:r>
      <w:r w:rsidR="002E289D">
        <w:rPr>
          <w:rFonts w:ascii="Garamond" w:hAnsi="Garamond"/>
          <w:bCs/>
          <w:sz w:val="24"/>
          <w:szCs w:val="24"/>
        </w:rPr>
        <w:t xml:space="preserve"> emphasis in their curricula and</w:t>
      </w:r>
      <w:r w:rsidR="006C24DB" w:rsidRPr="006C24DB">
        <w:rPr>
          <w:rFonts w:ascii="Garamond" w:hAnsi="Garamond"/>
          <w:bCs/>
          <w:sz w:val="24"/>
          <w:szCs w:val="24"/>
        </w:rPr>
        <w:t xml:space="preserve"> shift teaching practice toward more learner-centred </w:t>
      </w:r>
      <w:r w:rsidR="002E289D">
        <w:rPr>
          <w:rFonts w:ascii="Garamond" w:hAnsi="Garamond"/>
          <w:bCs/>
          <w:sz w:val="24"/>
          <w:szCs w:val="24"/>
        </w:rPr>
        <w:t>approaches</w:t>
      </w:r>
      <w:r w:rsidR="006C24DB" w:rsidRPr="006C24DB">
        <w:rPr>
          <w:rFonts w:ascii="Garamond" w:hAnsi="Garamond"/>
          <w:bCs/>
          <w:sz w:val="24"/>
          <w:szCs w:val="24"/>
        </w:rPr>
        <w:t xml:space="preserve">.  </w:t>
      </w:r>
    </w:p>
    <w:p w14:paraId="60DD7365" w14:textId="49A5700F" w:rsidR="002E289D" w:rsidRDefault="002E289D" w:rsidP="002E289D">
      <w:pPr>
        <w:spacing w:line="276" w:lineRule="auto"/>
        <w:rPr>
          <w:rFonts w:ascii="Garamond" w:hAnsi="Garamond"/>
          <w:bCs/>
          <w:sz w:val="24"/>
          <w:szCs w:val="24"/>
        </w:rPr>
      </w:pPr>
      <w:r>
        <w:rPr>
          <w:rFonts w:ascii="Garamond" w:hAnsi="Garamond"/>
          <w:bCs/>
          <w:sz w:val="24"/>
          <w:szCs w:val="24"/>
        </w:rPr>
        <w:t xml:space="preserve">Related ESP work that we undertake through other organisations, rather than directly ourselves, includes the </w:t>
      </w:r>
      <w:r w:rsidR="00DF3291">
        <w:rPr>
          <w:rFonts w:ascii="Garamond" w:hAnsi="Garamond"/>
          <w:bCs/>
          <w:sz w:val="24"/>
          <w:szCs w:val="24"/>
        </w:rPr>
        <w:t xml:space="preserve">OECD Integrity </w:t>
      </w:r>
      <w:r w:rsidR="0029524A">
        <w:rPr>
          <w:rFonts w:ascii="Garamond" w:hAnsi="Garamond"/>
          <w:bCs/>
          <w:sz w:val="24"/>
          <w:szCs w:val="24"/>
        </w:rPr>
        <w:t xml:space="preserve">in Education Systems (INTES) </w:t>
      </w:r>
      <w:r w:rsidR="00DF3291">
        <w:rPr>
          <w:rFonts w:ascii="Garamond" w:hAnsi="Garamond"/>
          <w:bCs/>
          <w:sz w:val="24"/>
          <w:szCs w:val="24"/>
        </w:rPr>
        <w:t xml:space="preserve">project in Ukraine, our ongoing support for the Network of Education Policy Centres, NEPC, which provides technical support on education quality and inclusion in most of the countries in which OSF formerly had foundations. </w:t>
      </w:r>
      <w:r w:rsidR="0029524A">
        <w:rPr>
          <w:rFonts w:ascii="Garamond" w:hAnsi="Garamond"/>
          <w:bCs/>
          <w:sz w:val="24"/>
          <w:szCs w:val="24"/>
        </w:rPr>
        <w:t xml:space="preserve">In the case of our long collaboration with the OECD, the INTES methodology used in Ukraine was developed in Serbia in close partnership among the OECD team, ESP and the national foundation. INTES was subsequently refined in Tunisia and has been picked up by the national foundation in Armenia, which is launching its research findings during the last week of November. </w:t>
      </w:r>
      <w:r w:rsidR="00DF3291">
        <w:rPr>
          <w:rFonts w:ascii="Garamond" w:hAnsi="Garamond"/>
          <w:bCs/>
          <w:sz w:val="24"/>
          <w:szCs w:val="24"/>
        </w:rPr>
        <w:t>We shall need to build on these long-term relationships in order to influence policy in these countries to refugees and migrants.</w:t>
      </w:r>
    </w:p>
    <w:p w14:paraId="2698BA91" w14:textId="7AFC7AFE" w:rsidR="00362F3D" w:rsidRPr="00362F3D" w:rsidRDefault="00362F3D" w:rsidP="00362F3D">
      <w:pPr>
        <w:rPr>
          <w:b/>
          <w:color w:val="4F81BD" w:themeColor="accent1"/>
          <w:sz w:val="24"/>
          <w:szCs w:val="24"/>
        </w:rPr>
      </w:pPr>
      <w:r w:rsidRPr="00362F3D">
        <w:rPr>
          <w:b/>
          <w:color w:val="4F81BD" w:themeColor="accent1"/>
          <w:sz w:val="24"/>
          <w:szCs w:val="24"/>
        </w:rPr>
        <w:t>Lessons the program is learning</w:t>
      </w:r>
    </w:p>
    <w:p w14:paraId="046CB42B" w14:textId="77777777" w:rsidR="0039427E" w:rsidRPr="00D92ADC" w:rsidRDefault="0039427E" w:rsidP="0039427E">
      <w:pPr>
        <w:spacing w:line="276" w:lineRule="auto"/>
        <w:rPr>
          <w:rFonts w:ascii="Garamond" w:hAnsi="Garamond"/>
          <w:i/>
          <w:sz w:val="24"/>
          <w:szCs w:val="24"/>
        </w:rPr>
      </w:pPr>
      <w:r>
        <w:rPr>
          <w:rFonts w:ascii="Garamond" w:hAnsi="Garamond"/>
          <w:sz w:val="24"/>
          <w:szCs w:val="24"/>
        </w:rPr>
        <w:t xml:space="preserve">1 – It seems, on the surface, that clear and direct, relatively isolated actions can lead to the desired policy result. The evidence-based argument of the CQE Learning and Language report did seem to persuade the Punjab Provincial government to delay the introduction of instruction in English till Grade 3. Formal questions to governments from human rights bodies in Geneva to governments in Ghana, Uganda and Kenya did seem not only to make them sit up and take notice, but to take national organisations seriously. A well-chosen case in put before judicial review by a school in </w:t>
      </w:r>
      <w:proofErr w:type="spellStart"/>
      <w:r>
        <w:rPr>
          <w:rFonts w:ascii="Garamond" w:hAnsi="Garamond"/>
          <w:sz w:val="24"/>
          <w:szCs w:val="24"/>
        </w:rPr>
        <w:t>Drumragh</w:t>
      </w:r>
      <w:proofErr w:type="spellEnd"/>
      <w:r>
        <w:rPr>
          <w:rFonts w:ascii="Garamond" w:hAnsi="Garamond"/>
          <w:sz w:val="24"/>
          <w:szCs w:val="24"/>
        </w:rPr>
        <w:t xml:space="preserve">, Northern Ireland, did remind the government of its obligations and get it to act on prior agreements. But even if we are sure about the causal relationship in </w:t>
      </w:r>
      <w:r>
        <w:rPr>
          <w:rFonts w:ascii="Garamond" w:hAnsi="Garamond"/>
          <w:sz w:val="24"/>
          <w:szCs w:val="24"/>
        </w:rPr>
        <w:lastRenderedPageBreak/>
        <w:t xml:space="preserve">these instances: </w:t>
      </w:r>
      <w:r w:rsidRPr="00D92ADC">
        <w:rPr>
          <w:rFonts w:ascii="Garamond" w:hAnsi="Garamond"/>
          <w:i/>
          <w:sz w:val="24"/>
          <w:szCs w:val="24"/>
        </w:rPr>
        <w:t>it does seem that both the context and the moment have to be right for single actions to work; strategy must always involve a ‘clear ask’ as well as a ‘smart action’.</w:t>
      </w:r>
    </w:p>
    <w:p w14:paraId="59489396" w14:textId="77777777" w:rsidR="0039427E" w:rsidRPr="0039427E" w:rsidRDefault="0039427E" w:rsidP="0039427E">
      <w:pPr>
        <w:spacing w:line="276" w:lineRule="auto"/>
        <w:rPr>
          <w:rFonts w:ascii="Garamond" w:hAnsi="Garamond"/>
          <w:sz w:val="24"/>
          <w:szCs w:val="24"/>
        </w:rPr>
      </w:pPr>
      <w:r>
        <w:rPr>
          <w:rFonts w:ascii="Garamond" w:hAnsi="Garamond"/>
          <w:sz w:val="24"/>
          <w:szCs w:val="24"/>
        </w:rPr>
        <w:t xml:space="preserve">2 – The success of EE’s norms and standards campaign, however, seemed to come from a combination of huge social pressure and well-chosen ‘smart’ actions, when to go to court, whether or not to accept a settlement; the Brazilian education coalition and the Pakistan education coalition also seem to rely on huge social pressure to force chance, this was the logic and the success of the student movement in Chile: they are now the policy-makers. Given the sheer size of the ASER study in Pakistan, it may seem strange that they have not had an easy policy victory, but </w:t>
      </w:r>
      <w:proofErr w:type="gramStart"/>
      <w:r>
        <w:rPr>
          <w:rFonts w:ascii="Garamond" w:hAnsi="Garamond"/>
          <w:sz w:val="24"/>
          <w:szCs w:val="24"/>
        </w:rPr>
        <w:t>their ask</w:t>
      </w:r>
      <w:proofErr w:type="gramEnd"/>
      <w:r>
        <w:rPr>
          <w:rFonts w:ascii="Garamond" w:hAnsi="Garamond"/>
          <w:sz w:val="24"/>
          <w:szCs w:val="24"/>
        </w:rPr>
        <w:t xml:space="preserve"> is for improvements in a whole system, not a ‘clear ask’ for a two-year delay in the language of instruction. The outcome of the judicial review in Belfast might have been different without the ‘right moment’ that it took IEF 20 years to make. Each of these strategies do seem to recognise that </w:t>
      </w:r>
      <w:r w:rsidRPr="00D92ADC">
        <w:rPr>
          <w:rFonts w:ascii="Garamond" w:hAnsi="Garamond"/>
          <w:i/>
          <w:sz w:val="24"/>
          <w:szCs w:val="24"/>
        </w:rPr>
        <w:t>public opinion and social mobilisation are indispensable for creating the policy climate in which the right idea can be put forward a the right time.</w:t>
      </w:r>
      <w:r w:rsidRPr="0039427E">
        <w:rPr>
          <w:rFonts w:ascii="Garamond" w:hAnsi="Garamond"/>
          <w:sz w:val="24"/>
          <w:szCs w:val="24"/>
        </w:rPr>
        <w:t xml:space="preserve">    </w:t>
      </w:r>
    </w:p>
    <w:p w14:paraId="12288F33" w14:textId="2944B4B1" w:rsidR="0039427E" w:rsidRDefault="0039427E" w:rsidP="0039427E">
      <w:pPr>
        <w:spacing w:line="276" w:lineRule="auto"/>
        <w:rPr>
          <w:rFonts w:ascii="Garamond" w:hAnsi="Garamond"/>
          <w:sz w:val="24"/>
          <w:szCs w:val="24"/>
        </w:rPr>
      </w:pPr>
      <w:r>
        <w:rPr>
          <w:rFonts w:ascii="Garamond" w:hAnsi="Garamond"/>
          <w:sz w:val="24"/>
          <w:szCs w:val="24"/>
        </w:rPr>
        <w:t xml:space="preserve">3 – The most important lesson in this field is probably </w:t>
      </w:r>
      <w:r w:rsidRPr="00D92ADC">
        <w:rPr>
          <w:rFonts w:ascii="Garamond" w:hAnsi="Garamond"/>
          <w:i/>
          <w:sz w:val="24"/>
          <w:szCs w:val="24"/>
        </w:rPr>
        <w:t>to be sensitive to context and to be guided by in-country partners, ideally both national foundations and grantees.</w:t>
      </w:r>
      <w:r>
        <w:rPr>
          <w:rFonts w:ascii="Garamond" w:hAnsi="Garamond"/>
          <w:sz w:val="24"/>
          <w:szCs w:val="24"/>
        </w:rPr>
        <w:t xml:space="preserve"> The strategies and grants in this review were guided by our close collaborations with FOSI-Pakistan, OSISA, Soros, Foundation Moldova, Open Society Forum in Mongolia, OSIAF-Tajikistan, and we’re sure the work in East Africa would have been enriched by a closer working relationship with OSIEA. The wrong thing to </w:t>
      </w:r>
      <w:proofErr w:type="gramStart"/>
      <w:r>
        <w:rPr>
          <w:rFonts w:ascii="Garamond" w:hAnsi="Garamond"/>
          <w:sz w:val="24"/>
          <w:szCs w:val="24"/>
        </w:rPr>
        <w:t>do,</w:t>
      </w:r>
      <w:proofErr w:type="gramEnd"/>
      <w:r>
        <w:rPr>
          <w:rFonts w:ascii="Garamond" w:hAnsi="Garamond"/>
          <w:sz w:val="24"/>
          <w:szCs w:val="24"/>
        </w:rPr>
        <w:t xml:space="preserve"> would be to assume that a strategy that worked in one place would work as well in another. </w:t>
      </w:r>
    </w:p>
    <w:p w14:paraId="3C5BC5E1" w14:textId="0EFD6130" w:rsidR="00362F3D" w:rsidRPr="00065841" w:rsidRDefault="002947B0" w:rsidP="00362F3D">
      <w:pPr>
        <w:rPr>
          <w:b/>
          <w:color w:val="4F81BD" w:themeColor="accent1"/>
          <w:sz w:val="24"/>
          <w:szCs w:val="24"/>
        </w:rPr>
      </w:pPr>
      <w:r>
        <w:rPr>
          <w:b/>
          <w:color w:val="4F81BD" w:themeColor="accent1"/>
          <w:sz w:val="24"/>
          <w:szCs w:val="24"/>
        </w:rPr>
        <w:t>The way forward</w:t>
      </w:r>
    </w:p>
    <w:p w14:paraId="764BCDE8" w14:textId="227FBC31" w:rsidR="0039427E" w:rsidRDefault="0039427E" w:rsidP="0039427E">
      <w:pPr>
        <w:spacing w:line="276" w:lineRule="auto"/>
        <w:rPr>
          <w:rFonts w:ascii="Garamond" w:hAnsi="Garamond"/>
          <w:bCs/>
          <w:sz w:val="24"/>
          <w:szCs w:val="24"/>
        </w:rPr>
      </w:pPr>
      <w:r w:rsidRPr="00C86C65">
        <w:rPr>
          <w:rFonts w:ascii="Garamond" w:hAnsi="Garamond"/>
          <w:bCs/>
          <w:sz w:val="24"/>
          <w:szCs w:val="24"/>
        </w:rPr>
        <w:t xml:space="preserve">1 – </w:t>
      </w:r>
      <w:r>
        <w:rPr>
          <w:rFonts w:ascii="Garamond" w:hAnsi="Garamond"/>
          <w:bCs/>
          <w:sz w:val="24"/>
          <w:szCs w:val="24"/>
        </w:rPr>
        <w:t xml:space="preserve">Field 2 in our 2016-2019 strategy is about activism and advocacy, not just to influence policy generally on a range of good </w:t>
      </w:r>
      <w:proofErr w:type="gramStart"/>
      <w:r>
        <w:rPr>
          <w:rFonts w:ascii="Garamond" w:hAnsi="Garamond"/>
          <w:bCs/>
          <w:sz w:val="24"/>
          <w:szCs w:val="24"/>
        </w:rPr>
        <w:t>things,</w:t>
      </w:r>
      <w:proofErr w:type="gramEnd"/>
      <w:r>
        <w:rPr>
          <w:rFonts w:ascii="Garamond" w:hAnsi="Garamond"/>
          <w:bCs/>
          <w:sz w:val="24"/>
          <w:szCs w:val="24"/>
        </w:rPr>
        <w:t xml:space="preserve"> our focus is on shifting public opinion, practice and policy very specifically around inclusion, </w:t>
      </w:r>
      <w:r w:rsidR="00944425">
        <w:rPr>
          <w:rFonts w:ascii="Garamond" w:hAnsi="Garamond"/>
          <w:bCs/>
          <w:sz w:val="24"/>
          <w:szCs w:val="24"/>
        </w:rPr>
        <w:t xml:space="preserve">in closer partnership with national and regional foundations, </w:t>
      </w:r>
      <w:r>
        <w:rPr>
          <w:rFonts w:ascii="Garamond" w:hAnsi="Garamond"/>
          <w:bCs/>
          <w:sz w:val="24"/>
          <w:szCs w:val="24"/>
        </w:rPr>
        <w:t>and in a more targeted range of geographies.</w:t>
      </w:r>
    </w:p>
    <w:p w14:paraId="5527213C" w14:textId="5A79D3E6" w:rsidR="0039427E" w:rsidRDefault="0039427E" w:rsidP="0039427E">
      <w:pPr>
        <w:spacing w:line="276" w:lineRule="auto"/>
        <w:rPr>
          <w:rFonts w:ascii="Garamond" w:hAnsi="Garamond"/>
          <w:bCs/>
          <w:sz w:val="24"/>
          <w:szCs w:val="24"/>
        </w:rPr>
      </w:pPr>
      <w:r w:rsidRPr="00C86C65">
        <w:rPr>
          <w:rFonts w:ascii="Garamond" w:hAnsi="Garamond"/>
          <w:bCs/>
          <w:sz w:val="24"/>
          <w:szCs w:val="24"/>
        </w:rPr>
        <w:t xml:space="preserve">2 – </w:t>
      </w:r>
      <w:r>
        <w:rPr>
          <w:rFonts w:ascii="Garamond" w:hAnsi="Garamond"/>
          <w:bCs/>
          <w:sz w:val="24"/>
          <w:szCs w:val="24"/>
        </w:rPr>
        <w:t xml:space="preserve">ESP will continue refining our </w:t>
      </w:r>
      <w:r w:rsidR="00D92ADC">
        <w:rPr>
          <w:rFonts w:ascii="Garamond" w:hAnsi="Garamond"/>
          <w:bCs/>
          <w:sz w:val="24"/>
          <w:szCs w:val="24"/>
        </w:rPr>
        <w:t xml:space="preserve">approach to </w:t>
      </w:r>
      <w:r>
        <w:rPr>
          <w:rFonts w:ascii="Garamond" w:hAnsi="Garamond"/>
          <w:bCs/>
          <w:sz w:val="24"/>
          <w:szCs w:val="24"/>
        </w:rPr>
        <w:t>that problematiz</w:t>
      </w:r>
      <w:r w:rsidR="00D92ADC">
        <w:rPr>
          <w:rFonts w:ascii="Garamond" w:hAnsi="Garamond"/>
          <w:bCs/>
          <w:sz w:val="24"/>
          <w:szCs w:val="24"/>
        </w:rPr>
        <w:t xml:space="preserve">ing </w:t>
      </w:r>
      <w:r>
        <w:rPr>
          <w:rFonts w:ascii="Garamond" w:hAnsi="Garamond"/>
          <w:bCs/>
          <w:sz w:val="24"/>
          <w:szCs w:val="24"/>
        </w:rPr>
        <w:t>education policy formation</w:t>
      </w:r>
      <w:r w:rsidR="00D92ADC">
        <w:rPr>
          <w:rFonts w:ascii="Garamond" w:hAnsi="Garamond"/>
          <w:bCs/>
          <w:sz w:val="24"/>
          <w:szCs w:val="24"/>
        </w:rPr>
        <w:t xml:space="preserve"> and implementation</w:t>
      </w:r>
      <w:r>
        <w:rPr>
          <w:rFonts w:ascii="Garamond" w:hAnsi="Garamond"/>
          <w:bCs/>
          <w:sz w:val="24"/>
          <w:szCs w:val="24"/>
        </w:rPr>
        <w:t xml:space="preserve"> because our ultimate goal is ensuring space for civil society in education. Those most deeply affected by education policy can be pushed out of discussions by closing spaces for civic participation when the </w:t>
      </w:r>
      <w:r w:rsidR="00D92ADC">
        <w:rPr>
          <w:rFonts w:ascii="Garamond" w:hAnsi="Garamond"/>
          <w:bCs/>
          <w:sz w:val="24"/>
          <w:szCs w:val="24"/>
        </w:rPr>
        <w:t xml:space="preserve">influence and dynamics </w:t>
      </w:r>
      <w:r>
        <w:rPr>
          <w:rFonts w:ascii="Garamond" w:hAnsi="Garamond"/>
          <w:bCs/>
          <w:sz w:val="24"/>
          <w:szCs w:val="24"/>
        </w:rPr>
        <w:t>between public and private actors shifts out of balance, either through circumstance or through a deliberate desire to limit organized activism.</w:t>
      </w:r>
      <w:r w:rsidR="00D92ADC">
        <w:rPr>
          <w:rFonts w:ascii="Garamond" w:hAnsi="Garamond"/>
          <w:bCs/>
          <w:sz w:val="24"/>
          <w:szCs w:val="24"/>
        </w:rPr>
        <w:t xml:space="preserve">  Moving forward we will shift our focus away from Latin America to engage more deeply on organizations in Africa, where foundations are more actively engaged in similar issues.</w:t>
      </w:r>
    </w:p>
    <w:p w14:paraId="1F0BA6C2" w14:textId="23041523" w:rsidR="005748CD" w:rsidRPr="00C86C65" w:rsidRDefault="005748CD" w:rsidP="0039427E">
      <w:pPr>
        <w:spacing w:line="276" w:lineRule="auto"/>
        <w:rPr>
          <w:rFonts w:ascii="Garamond" w:hAnsi="Garamond"/>
          <w:bCs/>
          <w:sz w:val="24"/>
          <w:szCs w:val="24"/>
        </w:rPr>
      </w:pPr>
      <w:r>
        <w:rPr>
          <w:rFonts w:ascii="Garamond" w:hAnsi="Garamond"/>
          <w:bCs/>
          <w:sz w:val="24"/>
          <w:szCs w:val="24"/>
        </w:rPr>
        <w:t xml:space="preserve">3 – Our work </w:t>
      </w:r>
      <w:r w:rsidR="009A2A0B">
        <w:rPr>
          <w:rFonts w:ascii="Garamond" w:hAnsi="Garamond"/>
          <w:bCs/>
          <w:sz w:val="24"/>
          <w:szCs w:val="24"/>
        </w:rPr>
        <w:t xml:space="preserve">related to privatisation and marketization in education will focus on developing a regulatory framework for private participants in the public education sphere, the related activities in this portfolio have already prepared some of the ground for this work. </w:t>
      </w:r>
    </w:p>
    <w:p w14:paraId="69A55D70" w14:textId="186E011B" w:rsidR="009B1F07" w:rsidRPr="00065841" w:rsidRDefault="009B1F07" w:rsidP="009B1F07">
      <w:pPr>
        <w:rPr>
          <w:b/>
          <w:color w:val="4F81BD" w:themeColor="accent1"/>
          <w:sz w:val="24"/>
          <w:szCs w:val="24"/>
        </w:rPr>
      </w:pPr>
      <w:r w:rsidRPr="00065841">
        <w:rPr>
          <w:b/>
          <w:color w:val="4F81BD" w:themeColor="accent1"/>
          <w:sz w:val="24"/>
          <w:szCs w:val="24"/>
        </w:rPr>
        <w:t>Annex A: List of Grants in this Portfolio Review, Related Grants and Non Grantees</w:t>
      </w:r>
    </w:p>
    <w:p w14:paraId="4869D4F4" w14:textId="6BA060E4" w:rsidR="009B1F07" w:rsidRPr="00065841" w:rsidRDefault="009B1F07" w:rsidP="009B1F07">
      <w:pPr>
        <w:rPr>
          <w:b/>
          <w:color w:val="4F81BD" w:themeColor="accent1"/>
          <w:sz w:val="24"/>
          <w:szCs w:val="24"/>
        </w:rPr>
      </w:pPr>
      <w:r w:rsidRPr="00065841">
        <w:rPr>
          <w:b/>
          <w:color w:val="4F81BD" w:themeColor="accent1"/>
          <w:sz w:val="24"/>
          <w:szCs w:val="24"/>
        </w:rPr>
        <w:t>Annex B: Media Coverage by Grants in the Portfolio Review and Related ESP Grants</w:t>
      </w:r>
    </w:p>
    <w:sectPr w:rsidR="009B1F07" w:rsidRPr="00065841">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28F6B" w14:textId="77777777" w:rsidR="006A69A6" w:rsidRDefault="006A69A6" w:rsidP="0040613B">
      <w:pPr>
        <w:spacing w:before="0" w:after="0"/>
      </w:pPr>
      <w:r>
        <w:separator/>
      </w:r>
    </w:p>
  </w:endnote>
  <w:endnote w:type="continuationSeparator" w:id="0">
    <w:p w14:paraId="5DDED319" w14:textId="77777777" w:rsidR="006A69A6" w:rsidRDefault="006A69A6" w:rsidP="0040613B">
      <w:pPr>
        <w:spacing w:before="0" w:after="0"/>
      </w:pPr>
      <w:r>
        <w:continuationSeparator/>
      </w:r>
    </w:p>
  </w:endnote>
  <w:endnote w:id="1">
    <w:p w14:paraId="6C3F9A68" w14:textId="77777777" w:rsidR="003B0103" w:rsidRPr="00BE7AAF" w:rsidRDefault="003B0103" w:rsidP="0018606A">
      <w:pPr>
        <w:shd w:val="clear" w:color="auto" w:fill="FFFFFF"/>
        <w:spacing w:before="0" w:after="0"/>
        <w:textAlignment w:val="baseline"/>
        <w:outlineLvl w:val="1"/>
        <w:rPr>
          <w:rFonts w:ascii="Garamond" w:hAnsi="Garamond"/>
          <w:bCs/>
          <w:sz w:val="24"/>
          <w:szCs w:val="24"/>
        </w:rPr>
      </w:pPr>
      <w:r>
        <w:rPr>
          <w:rStyle w:val="EndnoteReference"/>
        </w:rPr>
        <w:endnoteRef/>
      </w:r>
      <w:r>
        <w:t xml:space="preserve"> </w:t>
      </w:r>
      <w:r w:rsidRPr="00381947">
        <w:rPr>
          <w:rFonts w:ascii="Garamond" w:hAnsi="Garamond"/>
          <w:bCs/>
        </w:rPr>
        <w:t>Klees</w:t>
      </w:r>
      <w:r w:rsidRPr="00BE7AAF">
        <w:rPr>
          <w:rFonts w:ascii="Garamond" w:hAnsi="Garamond"/>
          <w:bCs/>
        </w:rPr>
        <w:t>, Steven J.,</w:t>
      </w:r>
      <w:r w:rsidRPr="00381947">
        <w:rPr>
          <w:rFonts w:ascii="Garamond" w:hAnsi="Garamond"/>
          <w:bCs/>
        </w:rPr>
        <w:t> </w:t>
      </w:r>
      <w:proofErr w:type="spellStart"/>
      <w:r w:rsidRPr="00381947">
        <w:rPr>
          <w:rFonts w:ascii="Garamond" w:hAnsi="Garamond"/>
          <w:bCs/>
        </w:rPr>
        <w:t>Samoff</w:t>
      </w:r>
      <w:proofErr w:type="spellEnd"/>
      <w:r w:rsidRPr="00BE7AAF">
        <w:rPr>
          <w:rFonts w:ascii="Garamond" w:hAnsi="Garamond"/>
          <w:bCs/>
        </w:rPr>
        <w:t>, Joel,</w:t>
      </w:r>
      <w:r w:rsidRPr="00381947">
        <w:rPr>
          <w:rFonts w:ascii="Garamond" w:hAnsi="Garamond"/>
          <w:bCs/>
        </w:rPr>
        <w:t> </w:t>
      </w:r>
      <w:proofErr w:type="spellStart"/>
      <w:r w:rsidRPr="00381947">
        <w:rPr>
          <w:rFonts w:ascii="Garamond" w:hAnsi="Garamond"/>
          <w:bCs/>
        </w:rPr>
        <w:t>Stromquist</w:t>
      </w:r>
      <w:proofErr w:type="spellEnd"/>
      <w:r w:rsidRPr="00BE7AAF">
        <w:rPr>
          <w:rFonts w:ascii="Garamond" w:hAnsi="Garamond"/>
          <w:bCs/>
        </w:rPr>
        <w:t>, Nelly P. (Eds.)</w:t>
      </w:r>
      <w:r w:rsidRPr="00381947">
        <w:rPr>
          <w:rFonts w:ascii="Garamond" w:hAnsi="Garamond"/>
          <w:bCs/>
        </w:rPr>
        <w:t xml:space="preserve"> (2012) </w:t>
      </w:r>
      <w:proofErr w:type="gramStart"/>
      <w:r w:rsidRPr="00BE7AAF">
        <w:rPr>
          <w:rFonts w:ascii="Garamond" w:hAnsi="Garamond"/>
          <w:bCs/>
        </w:rPr>
        <w:t>The</w:t>
      </w:r>
      <w:proofErr w:type="gramEnd"/>
      <w:r w:rsidRPr="00BE7AAF">
        <w:rPr>
          <w:rFonts w:ascii="Garamond" w:hAnsi="Garamond"/>
          <w:bCs/>
        </w:rPr>
        <w:t xml:space="preserve"> World Bank and Education</w:t>
      </w:r>
      <w:r w:rsidRPr="00381947">
        <w:rPr>
          <w:rFonts w:ascii="Garamond" w:hAnsi="Garamond"/>
          <w:bCs/>
        </w:rPr>
        <w:t xml:space="preserve">: </w:t>
      </w:r>
      <w:r w:rsidRPr="00BE7AAF">
        <w:rPr>
          <w:rFonts w:ascii="Garamond" w:hAnsi="Garamond"/>
          <w:bCs/>
        </w:rPr>
        <w:t>Critiques and Alternatives</w:t>
      </w:r>
      <w:r w:rsidRPr="00381947">
        <w:rPr>
          <w:rFonts w:ascii="Garamond" w:hAnsi="Garamond"/>
          <w:bCs/>
        </w:rPr>
        <w:t>, Springer: New York.</w:t>
      </w:r>
    </w:p>
    <w:p w14:paraId="5F137E17" w14:textId="77777777" w:rsidR="003B0103" w:rsidRDefault="003B0103" w:rsidP="0018606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022232"/>
      <w:docPartObj>
        <w:docPartGallery w:val="Page Numbers (Bottom of Page)"/>
        <w:docPartUnique/>
      </w:docPartObj>
    </w:sdtPr>
    <w:sdtEndPr>
      <w:rPr>
        <w:noProof/>
      </w:rPr>
    </w:sdtEndPr>
    <w:sdtContent>
      <w:p w14:paraId="02092BF2" w14:textId="314B057B" w:rsidR="003B0103" w:rsidRDefault="003B0103">
        <w:pPr>
          <w:pStyle w:val="Footer"/>
          <w:jc w:val="right"/>
        </w:pPr>
        <w:r>
          <w:fldChar w:fldCharType="begin"/>
        </w:r>
        <w:r>
          <w:instrText xml:space="preserve"> PAGE   \* MERGEFORMAT </w:instrText>
        </w:r>
        <w:r>
          <w:fldChar w:fldCharType="separate"/>
        </w:r>
        <w:r w:rsidR="00A95B3D">
          <w:rPr>
            <w:noProof/>
          </w:rPr>
          <w:t>1</w:t>
        </w:r>
        <w:r>
          <w:rPr>
            <w:noProof/>
          </w:rPr>
          <w:fldChar w:fldCharType="end"/>
        </w:r>
      </w:p>
    </w:sdtContent>
  </w:sdt>
  <w:p w14:paraId="6793D4AD" w14:textId="77777777" w:rsidR="003B0103" w:rsidRDefault="003B01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E325C" w14:textId="77777777" w:rsidR="006A69A6" w:rsidRDefault="006A69A6" w:rsidP="0040613B">
      <w:pPr>
        <w:spacing w:before="0" w:after="0"/>
      </w:pPr>
      <w:r>
        <w:separator/>
      </w:r>
    </w:p>
  </w:footnote>
  <w:footnote w:type="continuationSeparator" w:id="0">
    <w:p w14:paraId="2BD95927" w14:textId="77777777" w:rsidR="006A69A6" w:rsidRDefault="006A69A6" w:rsidP="0040613B">
      <w:pPr>
        <w:spacing w:before="0" w:after="0"/>
      </w:pPr>
      <w:r>
        <w:continuationSeparator/>
      </w:r>
    </w:p>
  </w:footnote>
  <w:footnote w:id="1">
    <w:p w14:paraId="67553266" w14:textId="42D60B81" w:rsidR="003B0103" w:rsidRPr="00354BC5" w:rsidRDefault="003B0103">
      <w:pPr>
        <w:pStyle w:val="FootnoteText"/>
        <w:rPr>
          <w:lang w:val="es-ES_tradnl"/>
        </w:rPr>
      </w:pPr>
      <w:r>
        <w:rPr>
          <w:rStyle w:val="FootnoteReference"/>
        </w:rPr>
        <w:footnoteRef/>
      </w:r>
      <w:r>
        <w:t xml:space="preserve"> </w:t>
      </w:r>
      <w:r w:rsidRPr="00381947">
        <w:rPr>
          <w:rFonts w:ascii="Garamond" w:hAnsi="Garamond"/>
          <w:bCs/>
          <w:sz w:val="22"/>
          <w:szCs w:val="22"/>
        </w:rPr>
        <w:t>International Association for the Evaluation of Educational Achievement (IEA), Trends in International Mathematics and Science Study (TIMMS)</w:t>
      </w:r>
      <w:r>
        <w:rPr>
          <w:rFonts w:ascii="Garamond" w:hAnsi="Garamond"/>
          <w:bCs/>
          <w:sz w:val="22"/>
          <w:szCs w:val="22"/>
        </w:rPr>
        <w:t xml:space="preserve">, </w:t>
      </w:r>
      <w:r w:rsidRPr="00381947">
        <w:rPr>
          <w:rFonts w:ascii="Garamond" w:hAnsi="Garamond"/>
          <w:bCs/>
          <w:sz w:val="22"/>
          <w:szCs w:val="22"/>
        </w:rPr>
        <w:t>Progress in International Reading Literacy Study (PIRLS)</w:t>
      </w:r>
      <w:r>
        <w:rPr>
          <w:rFonts w:ascii="Garamond" w:hAnsi="Garamond"/>
          <w:bCs/>
          <w:sz w:val="22"/>
          <w:szCs w:val="22"/>
        </w:rPr>
        <w:t xml:space="preserve">, </w:t>
      </w:r>
      <w:r w:rsidRPr="00C63CED">
        <w:rPr>
          <w:rFonts w:ascii="Garamond" w:hAnsi="Garamond"/>
          <w:bCs/>
          <w:i/>
          <w:sz w:val="22"/>
          <w:szCs w:val="22"/>
        </w:rPr>
        <w:t xml:space="preserve">Programme </w:t>
      </w:r>
      <w:proofErr w:type="spellStart"/>
      <w:r w:rsidRPr="00C63CED">
        <w:rPr>
          <w:rFonts w:ascii="Garamond" w:hAnsi="Garamond"/>
          <w:bCs/>
          <w:i/>
          <w:sz w:val="22"/>
          <w:szCs w:val="22"/>
        </w:rPr>
        <w:t>d’Analyse</w:t>
      </w:r>
      <w:proofErr w:type="spellEnd"/>
      <w:r w:rsidRPr="00C63CED">
        <w:rPr>
          <w:rFonts w:ascii="Garamond" w:hAnsi="Garamond"/>
          <w:bCs/>
          <w:i/>
          <w:sz w:val="22"/>
          <w:szCs w:val="22"/>
        </w:rPr>
        <w:t xml:space="preserve"> des </w:t>
      </w:r>
      <w:proofErr w:type="spellStart"/>
      <w:r w:rsidRPr="00C63CED">
        <w:rPr>
          <w:rFonts w:ascii="Garamond" w:hAnsi="Garamond"/>
          <w:bCs/>
          <w:i/>
          <w:sz w:val="22"/>
          <w:szCs w:val="22"/>
        </w:rPr>
        <w:t>Systèmes</w:t>
      </w:r>
      <w:proofErr w:type="spellEnd"/>
      <w:r w:rsidRPr="00C63CED">
        <w:rPr>
          <w:rFonts w:ascii="Garamond" w:hAnsi="Garamond"/>
          <w:bCs/>
          <w:i/>
          <w:sz w:val="22"/>
          <w:szCs w:val="22"/>
        </w:rPr>
        <w:t xml:space="preserve"> </w:t>
      </w:r>
      <w:proofErr w:type="spellStart"/>
      <w:r w:rsidRPr="00C63CED">
        <w:rPr>
          <w:rFonts w:ascii="Garamond" w:hAnsi="Garamond"/>
          <w:bCs/>
          <w:i/>
          <w:sz w:val="22"/>
          <w:szCs w:val="22"/>
        </w:rPr>
        <w:t>Educatifs</w:t>
      </w:r>
      <w:proofErr w:type="spellEnd"/>
      <w:r w:rsidRPr="00C63CED">
        <w:rPr>
          <w:rFonts w:ascii="Garamond" w:hAnsi="Garamond"/>
          <w:bCs/>
          <w:i/>
          <w:sz w:val="22"/>
          <w:szCs w:val="22"/>
        </w:rPr>
        <w:t xml:space="preserve"> de la CONFEMEN</w:t>
      </w:r>
      <w:r w:rsidRPr="00381947">
        <w:rPr>
          <w:rFonts w:ascii="Garamond" w:hAnsi="Garamond"/>
          <w:bCs/>
          <w:sz w:val="22"/>
          <w:szCs w:val="22"/>
        </w:rPr>
        <w:t xml:space="preserve"> (PASE</w:t>
      </w:r>
      <w:r>
        <w:rPr>
          <w:rFonts w:ascii="Garamond" w:hAnsi="Garamond"/>
          <w:bCs/>
          <w:sz w:val="22"/>
          <w:szCs w:val="22"/>
        </w:rPr>
        <w:t>C), Southern and Eastern Africa</w:t>
      </w:r>
      <w:r w:rsidRPr="00381947">
        <w:rPr>
          <w:rFonts w:ascii="Garamond" w:hAnsi="Garamond"/>
          <w:bCs/>
          <w:sz w:val="22"/>
          <w:szCs w:val="22"/>
        </w:rPr>
        <w:t xml:space="preserve"> Consortium for Monitoring Educational Quality (SACMEQ),</w:t>
      </w:r>
      <w:r>
        <w:rPr>
          <w:rFonts w:ascii="Garamond" w:hAnsi="Garamond"/>
          <w:bCs/>
          <w:sz w:val="22"/>
          <w:szCs w:val="22"/>
        </w:rPr>
        <w:t xml:space="preserve"> </w:t>
      </w:r>
      <w:r w:rsidRPr="00C63CED">
        <w:rPr>
          <w:rFonts w:ascii="Garamond" w:hAnsi="Garamond"/>
          <w:bCs/>
          <w:sz w:val="22"/>
          <w:szCs w:val="22"/>
        </w:rPr>
        <w:t>Programme for International Student Assessment</w:t>
      </w:r>
      <w:r w:rsidRPr="002D0DED">
        <w:rPr>
          <w:rFonts w:ascii="Garamond" w:hAnsi="Garamond"/>
          <w:bCs/>
          <w:sz w:val="22"/>
          <w:szCs w:val="22"/>
        </w:rPr>
        <w:t> (PISA)</w:t>
      </w:r>
      <w:r>
        <w:rPr>
          <w:rFonts w:ascii="Garamond" w:hAnsi="Garamond"/>
          <w:bCs/>
          <w:sz w:val="22"/>
          <w:szCs w:val="22"/>
        </w:rPr>
        <w:t xml:space="preserve">, </w:t>
      </w:r>
      <w:r w:rsidRPr="00C63CED">
        <w:rPr>
          <w:rFonts w:ascii="Garamond" w:hAnsi="Garamond"/>
          <w:bCs/>
          <w:sz w:val="22"/>
          <w:szCs w:val="22"/>
        </w:rPr>
        <w:t>Systems Approach for Better Education Results (SABER)</w:t>
      </w:r>
      <w:r w:rsidRPr="00381947">
        <w:rPr>
          <w:rFonts w:ascii="Garamond" w:hAnsi="Garamond"/>
          <w:bCs/>
          <w:sz w:val="22"/>
          <w:szCs w:val="22"/>
        </w:rPr>
        <w:t xml:space="preserve">. </w:t>
      </w:r>
      <w:r w:rsidRPr="00354BC5">
        <w:rPr>
          <w:rFonts w:ascii="Garamond" w:hAnsi="Garamond"/>
          <w:bCs/>
          <w:sz w:val="22"/>
          <w:szCs w:val="22"/>
          <w:lang w:val="es-ES_tradnl"/>
        </w:rPr>
        <w:t>[</w:t>
      </w:r>
      <w:r w:rsidRPr="00354BC5">
        <w:rPr>
          <w:rFonts w:ascii="Garamond" w:hAnsi="Garamond"/>
          <w:bCs/>
          <w:i/>
          <w:sz w:val="22"/>
          <w:szCs w:val="22"/>
          <w:lang w:val="es-ES_tradnl"/>
        </w:rPr>
        <w:t xml:space="preserve">CONFEMEN - </w:t>
      </w:r>
      <w:proofErr w:type="spellStart"/>
      <w:r w:rsidRPr="00354BC5">
        <w:rPr>
          <w:rFonts w:ascii="Garamond" w:hAnsi="Garamond"/>
          <w:bCs/>
          <w:i/>
          <w:sz w:val="22"/>
          <w:szCs w:val="22"/>
          <w:lang w:val="es-ES_tradnl"/>
        </w:rPr>
        <w:t>Conférence</w:t>
      </w:r>
      <w:proofErr w:type="spellEnd"/>
      <w:r w:rsidRPr="00354BC5">
        <w:rPr>
          <w:rFonts w:ascii="Garamond" w:hAnsi="Garamond"/>
          <w:bCs/>
          <w:i/>
          <w:sz w:val="22"/>
          <w:szCs w:val="22"/>
          <w:lang w:val="es-ES_tradnl"/>
        </w:rPr>
        <w:t xml:space="preserve"> des Ministres de </w:t>
      </w:r>
      <w:proofErr w:type="spellStart"/>
      <w:r w:rsidRPr="00354BC5">
        <w:rPr>
          <w:rFonts w:ascii="Garamond" w:hAnsi="Garamond"/>
          <w:bCs/>
          <w:i/>
          <w:sz w:val="22"/>
          <w:szCs w:val="22"/>
          <w:lang w:val="es-ES_tradnl"/>
        </w:rPr>
        <w:t>l’Éducation</w:t>
      </w:r>
      <w:proofErr w:type="spellEnd"/>
      <w:r w:rsidRPr="00354BC5">
        <w:rPr>
          <w:rFonts w:ascii="Garamond" w:hAnsi="Garamond"/>
          <w:bCs/>
          <w:i/>
          <w:sz w:val="22"/>
          <w:szCs w:val="22"/>
          <w:lang w:val="es-ES_tradnl"/>
        </w:rPr>
        <w:t xml:space="preserve"> des </w:t>
      </w:r>
      <w:proofErr w:type="spellStart"/>
      <w:r w:rsidRPr="00354BC5">
        <w:rPr>
          <w:rFonts w:ascii="Garamond" w:hAnsi="Garamond"/>
          <w:bCs/>
          <w:i/>
          <w:sz w:val="22"/>
          <w:szCs w:val="22"/>
          <w:lang w:val="es-ES_tradnl"/>
        </w:rPr>
        <w:t>États</w:t>
      </w:r>
      <w:proofErr w:type="spellEnd"/>
      <w:r w:rsidRPr="00354BC5">
        <w:rPr>
          <w:rFonts w:ascii="Garamond" w:hAnsi="Garamond"/>
          <w:bCs/>
          <w:i/>
          <w:sz w:val="22"/>
          <w:szCs w:val="22"/>
          <w:lang w:val="es-ES_tradnl"/>
        </w:rPr>
        <w:t xml:space="preserve"> et </w:t>
      </w:r>
      <w:proofErr w:type="spellStart"/>
      <w:r w:rsidRPr="00354BC5">
        <w:rPr>
          <w:rFonts w:ascii="Garamond" w:hAnsi="Garamond"/>
          <w:bCs/>
          <w:i/>
          <w:sz w:val="22"/>
          <w:szCs w:val="22"/>
          <w:lang w:val="es-ES_tradnl"/>
        </w:rPr>
        <w:t>Gouvernements</w:t>
      </w:r>
      <w:proofErr w:type="spellEnd"/>
      <w:r w:rsidRPr="00354BC5">
        <w:rPr>
          <w:rFonts w:ascii="Garamond" w:hAnsi="Garamond"/>
          <w:bCs/>
          <w:i/>
          <w:sz w:val="22"/>
          <w:szCs w:val="22"/>
          <w:lang w:val="es-ES_tradnl"/>
        </w:rPr>
        <w:t xml:space="preserve"> de la </w:t>
      </w:r>
      <w:proofErr w:type="spellStart"/>
      <w:r w:rsidRPr="00354BC5">
        <w:rPr>
          <w:rFonts w:ascii="Garamond" w:hAnsi="Garamond"/>
          <w:bCs/>
          <w:i/>
          <w:sz w:val="22"/>
          <w:szCs w:val="22"/>
          <w:lang w:val="es-ES_tradnl"/>
        </w:rPr>
        <w:t>Francophonie</w:t>
      </w:r>
      <w:proofErr w:type="spellEnd"/>
      <w:r w:rsidRPr="00354BC5">
        <w:rPr>
          <w:rFonts w:ascii="Garamond" w:hAnsi="Garamond"/>
          <w:bCs/>
          <w:i/>
          <w:sz w:val="22"/>
          <w:szCs w:val="22"/>
          <w:lang w:val="es-ES_tradnl"/>
        </w:rPr>
        <w:t>.</w:t>
      </w:r>
      <w:r w:rsidRPr="00354BC5">
        <w:rPr>
          <w:rFonts w:ascii="Garamond" w:hAnsi="Garamond"/>
          <w:bCs/>
          <w:sz w:val="22"/>
          <w:szCs w:val="22"/>
          <w:lang w:val="es-ES_tradnl"/>
        </w:rPr>
        <w:t>]</w:t>
      </w:r>
    </w:p>
  </w:footnote>
  <w:footnote w:id="2">
    <w:p w14:paraId="1C52D363" w14:textId="66F43CDD" w:rsidR="00A50A43" w:rsidRDefault="00A50A43" w:rsidP="00A50A43">
      <w:pPr>
        <w:pStyle w:val="FootnoteText"/>
      </w:pPr>
      <w:r>
        <w:rPr>
          <w:rStyle w:val="FootnoteReference"/>
        </w:rPr>
        <w:footnoteRef/>
      </w:r>
      <w:r>
        <w:t xml:space="preserve"> </w:t>
      </w:r>
      <w:proofErr w:type="gramStart"/>
      <w:r w:rsidRPr="00A50A43">
        <w:rPr>
          <w:rFonts w:ascii="Garamond" w:hAnsi="Garamond"/>
          <w:bCs/>
          <w:sz w:val="22"/>
          <w:szCs w:val="22"/>
        </w:rPr>
        <w:t>United Nations Committee on Economic, Social and Cultural Rights</w:t>
      </w:r>
      <w:r>
        <w:rPr>
          <w:rFonts w:ascii="Garamond" w:hAnsi="Garamond"/>
          <w:bCs/>
          <w:sz w:val="22"/>
          <w:szCs w:val="22"/>
        </w:rPr>
        <w:t xml:space="preserve"> (CESCR);</w:t>
      </w:r>
      <w:r w:rsidRPr="00A50A43">
        <w:rPr>
          <w:rFonts w:ascii="Garamond" w:hAnsi="Garamond"/>
          <w:bCs/>
          <w:sz w:val="22"/>
          <w:szCs w:val="22"/>
        </w:rPr>
        <w:t xml:space="preserve"> Committee on the Rights of the Child (CRC); the Committee on the Elimination of Discrimination against Women</w:t>
      </w:r>
      <w:r w:rsidRPr="003B0103">
        <w:rPr>
          <w:rFonts w:ascii="Garamond" w:hAnsi="Garamond"/>
          <w:bCs/>
          <w:sz w:val="22"/>
          <w:szCs w:val="22"/>
        </w:rPr>
        <w:t xml:space="preserve"> (CEDAW).</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B1A1E"/>
    <w:multiLevelType w:val="hybridMultilevel"/>
    <w:tmpl w:val="AE08D422"/>
    <w:lvl w:ilvl="0" w:tplc="04090011">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555291"/>
    <w:multiLevelType w:val="hybridMultilevel"/>
    <w:tmpl w:val="F73A0210"/>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625781"/>
    <w:multiLevelType w:val="hybridMultilevel"/>
    <w:tmpl w:val="7CA8A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5257F4D"/>
    <w:multiLevelType w:val="hybridMultilevel"/>
    <w:tmpl w:val="CCAC7580"/>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C76BB3"/>
    <w:multiLevelType w:val="hybridMultilevel"/>
    <w:tmpl w:val="A51CD0F6"/>
    <w:lvl w:ilvl="0" w:tplc="7026F6D4">
      <w:numFmt w:val="bullet"/>
      <w:lvlText w:val="-"/>
      <w:lvlJc w:val="left"/>
      <w:pPr>
        <w:ind w:left="1860" w:hanging="360"/>
      </w:pPr>
      <w:rPr>
        <w:rFonts w:ascii="Garamond" w:eastAsiaTheme="minorHAnsi" w:hAnsi="Garamond" w:cstheme="minorBidi"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5">
    <w:nsid w:val="4029272B"/>
    <w:multiLevelType w:val="hybridMultilevel"/>
    <w:tmpl w:val="751AD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D941D5"/>
    <w:multiLevelType w:val="hybridMultilevel"/>
    <w:tmpl w:val="77940954"/>
    <w:lvl w:ilvl="0" w:tplc="445603B6">
      <w:start w:val="1"/>
      <w:numFmt w:val="bullet"/>
      <w:lvlText w:val="•"/>
      <w:lvlJc w:val="left"/>
      <w:pPr>
        <w:tabs>
          <w:tab w:val="num" w:pos="720"/>
        </w:tabs>
        <w:ind w:left="720" w:hanging="360"/>
      </w:pPr>
      <w:rPr>
        <w:rFonts w:ascii="Arial" w:hAnsi="Arial" w:hint="default"/>
      </w:rPr>
    </w:lvl>
    <w:lvl w:ilvl="1" w:tplc="CB14568C" w:tentative="1">
      <w:start w:val="1"/>
      <w:numFmt w:val="bullet"/>
      <w:lvlText w:val="•"/>
      <w:lvlJc w:val="left"/>
      <w:pPr>
        <w:tabs>
          <w:tab w:val="num" w:pos="1440"/>
        </w:tabs>
        <w:ind w:left="1440" w:hanging="360"/>
      </w:pPr>
      <w:rPr>
        <w:rFonts w:ascii="Arial" w:hAnsi="Arial" w:hint="default"/>
      </w:rPr>
    </w:lvl>
    <w:lvl w:ilvl="2" w:tplc="AB628228" w:tentative="1">
      <w:start w:val="1"/>
      <w:numFmt w:val="bullet"/>
      <w:lvlText w:val="•"/>
      <w:lvlJc w:val="left"/>
      <w:pPr>
        <w:tabs>
          <w:tab w:val="num" w:pos="2160"/>
        </w:tabs>
        <w:ind w:left="2160" w:hanging="360"/>
      </w:pPr>
      <w:rPr>
        <w:rFonts w:ascii="Arial" w:hAnsi="Arial" w:hint="default"/>
      </w:rPr>
    </w:lvl>
    <w:lvl w:ilvl="3" w:tplc="9A320DD6" w:tentative="1">
      <w:start w:val="1"/>
      <w:numFmt w:val="bullet"/>
      <w:lvlText w:val="•"/>
      <w:lvlJc w:val="left"/>
      <w:pPr>
        <w:tabs>
          <w:tab w:val="num" w:pos="2880"/>
        </w:tabs>
        <w:ind w:left="2880" w:hanging="360"/>
      </w:pPr>
      <w:rPr>
        <w:rFonts w:ascii="Arial" w:hAnsi="Arial" w:hint="default"/>
      </w:rPr>
    </w:lvl>
    <w:lvl w:ilvl="4" w:tplc="27D21054" w:tentative="1">
      <w:start w:val="1"/>
      <w:numFmt w:val="bullet"/>
      <w:lvlText w:val="•"/>
      <w:lvlJc w:val="left"/>
      <w:pPr>
        <w:tabs>
          <w:tab w:val="num" w:pos="3600"/>
        </w:tabs>
        <w:ind w:left="3600" w:hanging="360"/>
      </w:pPr>
      <w:rPr>
        <w:rFonts w:ascii="Arial" w:hAnsi="Arial" w:hint="default"/>
      </w:rPr>
    </w:lvl>
    <w:lvl w:ilvl="5" w:tplc="C3D8A782" w:tentative="1">
      <w:start w:val="1"/>
      <w:numFmt w:val="bullet"/>
      <w:lvlText w:val="•"/>
      <w:lvlJc w:val="left"/>
      <w:pPr>
        <w:tabs>
          <w:tab w:val="num" w:pos="4320"/>
        </w:tabs>
        <w:ind w:left="4320" w:hanging="360"/>
      </w:pPr>
      <w:rPr>
        <w:rFonts w:ascii="Arial" w:hAnsi="Arial" w:hint="default"/>
      </w:rPr>
    </w:lvl>
    <w:lvl w:ilvl="6" w:tplc="A2AC3236" w:tentative="1">
      <w:start w:val="1"/>
      <w:numFmt w:val="bullet"/>
      <w:lvlText w:val="•"/>
      <w:lvlJc w:val="left"/>
      <w:pPr>
        <w:tabs>
          <w:tab w:val="num" w:pos="5040"/>
        </w:tabs>
        <w:ind w:left="5040" w:hanging="360"/>
      </w:pPr>
      <w:rPr>
        <w:rFonts w:ascii="Arial" w:hAnsi="Arial" w:hint="default"/>
      </w:rPr>
    </w:lvl>
    <w:lvl w:ilvl="7" w:tplc="8FDED50A" w:tentative="1">
      <w:start w:val="1"/>
      <w:numFmt w:val="bullet"/>
      <w:lvlText w:val="•"/>
      <w:lvlJc w:val="left"/>
      <w:pPr>
        <w:tabs>
          <w:tab w:val="num" w:pos="5760"/>
        </w:tabs>
        <w:ind w:left="5760" w:hanging="360"/>
      </w:pPr>
      <w:rPr>
        <w:rFonts w:ascii="Arial" w:hAnsi="Arial" w:hint="default"/>
      </w:rPr>
    </w:lvl>
    <w:lvl w:ilvl="8" w:tplc="9274EAC8" w:tentative="1">
      <w:start w:val="1"/>
      <w:numFmt w:val="bullet"/>
      <w:lvlText w:val="•"/>
      <w:lvlJc w:val="left"/>
      <w:pPr>
        <w:tabs>
          <w:tab w:val="num" w:pos="6480"/>
        </w:tabs>
        <w:ind w:left="6480" w:hanging="360"/>
      </w:pPr>
      <w:rPr>
        <w:rFonts w:ascii="Arial" w:hAnsi="Arial" w:hint="default"/>
      </w:rPr>
    </w:lvl>
  </w:abstractNum>
  <w:abstractNum w:abstractNumId="7">
    <w:nsid w:val="430006DD"/>
    <w:multiLevelType w:val="hybridMultilevel"/>
    <w:tmpl w:val="12F0D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4606A0"/>
    <w:multiLevelType w:val="hybridMultilevel"/>
    <w:tmpl w:val="77CA159A"/>
    <w:lvl w:ilvl="0" w:tplc="E5F0DE3C">
      <w:start w:val="1"/>
      <w:numFmt w:val="bullet"/>
      <w:lvlText w:val="•"/>
      <w:lvlJc w:val="left"/>
      <w:pPr>
        <w:tabs>
          <w:tab w:val="num" w:pos="360"/>
        </w:tabs>
        <w:ind w:left="360" w:hanging="360"/>
      </w:pPr>
      <w:rPr>
        <w:rFonts w:ascii="Arial" w:hAnsi="Arial" w:hint="default"/>
      </w:rPr>
    </w:lvl>
    <w:lvl w:ilvl="1" w:tplc="38965D94">
      <w:start w:val="1"/>
      <w:numFmt w:val="bullet"/>
      <w:lvlText w:val="•"/>
      <w:lvlJc w:val="left"/>
      <w:pPr>
        <w:tabs>
          <w:tab w:val="num" w:pos="1080"/>
        </w:tabs>
        <w:ind w:left="1080" w:hanging="360"/>
      </w:pPr>
      <w:rPr>
        <w:rFonts w:ascii="Arial" w:hAnsi="Arial" w:hint="default"/>
      </w:rPr>
    </w:lvl>
    <w:lvl w:ilvl="2" w:tplc="4AA4EA46" w:tentative="1">
      <w:start w:val="1"/>
      <w:numFmt w:val="bullet"/>
      <w:lvlText w:val="•"/>
      <w:lvlJc w:val="left"/>
      <w:pPr>
        <w:tabs>
          <w:tab w:val="num" w:pos="1800"/>
        </w:tabs>
        <w:ind w:left="1800" w:hanging="360"/>
      </w:pPr>
      <w:rPr>
        <w:rFonts w:ascii="Arial" w:hAnsi="Arial" w:hint="default"/>
      </w:rPr>
    </w:lvl>
    <w:lvl w:ilvl="3" w:tplc="1A268DAE" w:tentative="1">
      <w:start w:val="1"/>
      <w:numFmt w:val="bullet"/>
      <w:lvlText w:val="•"/>
      <w:lvlJc w:val="left"/>
      <w:pPr>
        <w:tabs>
          <w:tab w:val="num" w:pos="2520"/>
        </w:tabs>
        <w:ind w:left="2520" w:hanging="360"/>
      </w:pPr>
      <w:rPr>
        <w:rFonts w:ascii="Arial" w:hAnsi="Arial" w:hint="default"/>
      </w:rPr>
    </w:lvl>
    <w:lvl w:ilvl="4" w:tplc="CD7EF0D0" w:tentative="1">
      <w:start w:val="1"/>
      <w:numFmt w:val="bullet"/>
      <w:lvlText w:val="•"/>
      <w:lvlJc w:val="left"/>
      <w:pPr>
        <w:tabs>
          <w:tab w:val="num" w:pos="3240"/>
        </w:tabs>
        <w:ind w:left="3240" w:hanging="360"/>
      </w:pPr>
      <w:rPr>
        <w:rFonts w:ascii="Arial" w:hAnsi="Arial" w:hint="default"/>
      </w:rPr>
    </w:lvl>
    <w:lvl w:ilvl="5" w:tplc="F770216C" w:tentative="1">
      <w:start w:val="1"/>
      <w:numFmt w:val="bullet"/>
      <w:lvlText w:val="•"/>
      <w:lvlJc w:val="left"/>
      <w:pPr>
        <w:tabs>
          <w:tab w:val="num" w:pos="3960"/>
        </w:tabs>
        <w:ind w:left="3960" w:hanging="360"/>
      </w:pPr>
      <w:rPr>
        <w:rFonts w:ascii="Arial" w:hAnsi="Arial" w:hint="default"/>
      </w:rPr>
    </w:lvl>
    <w:lvl w:ilvl="6" w:tplc="918E8882" w:tentative="1">
      <w:start w:val="1"/>
      <w:numFmt w:val="bullet"/>
      <w:lvlText w:val="•"/>
      <w:lvlJc w:val="left"/>
      <w:pPr>
        <w:tabs>
          <w:tab w:val="num" w:pos="4680"/>
        </w:tabs>
        <w:ind w:left="4680" w:hanging="360"/>
      </w:pPr>
      <w:rPr>
        <w:rFonts w:ascii="Arial" w:hAnsi="Arial" w:hint="default"/>
      </w:rPr>
    </w:lvl>
    <w:lvl w:ilvl="7" w:tplc="6CAEEF8E" w:tentative="1">
      <w:start w:val="1"/>
      <w:numFmt w:val="bullet"/>
      <w:lvlText w:val="•"/>
      <w:lvlJc w:val="left"/>
      <w:pPr>
        <w:tabs>
          <w:tab w:val="num" w:pos="5400"/>
        </w:tabs>
        <w:ind w:left="5400" w:hanging="360"/>
      </w:pPr>
      <w:rPr>
        <w:rFonts w:ascii="Arial" w:hAnsi="Arial" w:hint="default"/>
      </w:rPr>
    </w:lvl>
    <w:lvl w:ilvl="8" w:tplc="DCFA0DA8" w:tentative="1">
      <w:start w:val="1"/>
      <w:numFmt w:val="bullet"/>
      <w:lvlText w:val="•"/>
      <w:lvlJc w:val="left"/>
      <w:pPr>
        <w:tabs>
          <w:tab w:val="num" w:pos="6120"/>
        </w:tabs>
        <w:ind w:left="6120" w:hanging="360"/>
      </w:pPr>
      <w:rPr>
        <w:rFonts w:ascii="Arial" w:hAnsi="Arial" w:hint="default"/>
      </w:rPr>
    </w:lvl>
  </w:abstractNum>
  <w:abstractNum w:abstractNumId="9">
    <w:nsid w:val="688B67D3"/>
    <w:multiLevelType w:val="hybridMultilevel"/>
    <w:tmpl w:val="751AD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DB60FB"/>
    <w:multiLevelType w:val="hybridMultilevel"/>
    <w:tmpl w:val="7208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1D56D3"/>
    <w:multiLevelType w:val="hybridMultilevel"/>
    <w:tmpl w:val="751AD92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4"/>
  </w:num>
  <w:num w:numId="4">
    <w:abstractNumId w:val="11"/>
  </w:num>
  <w:num w:numId="5">
    <w:abstractNumId w:val="6"/>
  </w:num>
  <w:num w:numId="6">
    <w:abstractNumId w:val="8"/>
  </w:num>
  <w:num w:numId="7">
    <w:abstractNumId w:val="7"/>
  </w:num>
  <w:num w:numId="8">
    <w:abstractNumId w:val="9"/>
  </w:num>
  <w:num w:numId="9">
    <w:abstractNumId w:val="5"/>
  </w:num>
  <w:num w:numId="10">
    <w:abstractNumId w:val="3"/>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FB8"/>
    <w:rsid w:val="000033CA"/>
    <w:rsid w:val="00003A54"/>
    <w:rsid w:val="00006E0F"/>
    <w:rsid w:val="000075AF"/>
    <w:rsid w:val="000120C0"/>
    <w:rsid w:val="00014B2D"/>
    <w:rsid w:val="00014FCB"/>
    <w:rsid w:val="000173F7"/>
    <w:rsid w:val="00022F6E"/>
    <w:rsid w:val="000248D7"/>
    <w:rsid w:val="00025256"/>
    <w:rsid w:val="000309C3"/>
    <w:rsid w:val="00031CCD"/>
    <w:rsid w:val="000448A9"/>
    <w:rsid w:val="00050282"/>
    <w:rsid w:val="00065841"/>
    <w:rsid w:val="00071841"/>
    <w:rsid w:val="00081B46"/>
    <w:rsid w:val="000A042A"/>
    <w:rsid w:val="000B0992"/>
    <w:rsid w:val="000B4A45"/>
    <w:rsid w:val="000C28AA"/>
    <w:rsid w:val="000D4D74"/>
    <w:rsid w:val="000E4584"/>
    <w:rsid w:val="000F0B97"/>
    <w:rsid w:val="000F1001"/>
    <w:rsid w:val="000F2E83"/>
    <w:rsid w:val="000F2EB6"/>
    <w:rsid w:val="000F4FE8"/>
    <w:rsid w:val="00100ADC"/>
    <w:rsid w:val="00102176"/>
    <w:rsid w:val="00105252"/>
    <w:rsid w:val="00111CC9"/>
    <w:rsid w:val="00114B76"/>
    <w:rsid w:val="001165DC"/>
    <w:rsid w:val="00120BC9"/>
    <w:rsid w:val="00133ACF"/>
    <w:rsid w:val="001350A5"/>
    <w:rsid w:val="00140F3B"/>
    <w:rsid w:val="00142BEB"/>
    <w:rsid w:val="001469BE"/>
    <w:rsid w:val="00146AD2"/>
    <w:rsid w:val="0015135F"/>
    <w:rsid w:val="001540E6"/>
    <w:rsid w:val="00160292"/>
    <w:rsid w:val="00162E25"/>
    <w:rsid w:val="00164583"/>
    <w:rsid w:val="00170169"/>
    <w:rsid w:val="00170245"/>
    <w:rsid w:val="001704F2"/>
    <w:rsid w:val="00172F00"/>
    <w:rsid w:val="00173675"/>
    <w:rsid w:val="0017597F"/>
    <w:rsid w:val="00177921"/>
    <w:rsid w:val="001809F7"/>
    <w:rsid w:val="0018606A"/>
    <w:rsid w:val="00187F34"/>
    <w:rsid w:val="001902E7"/>
    <w:rsid w:val="001910B5"/>
    <w:rsid w:val="001A6A63"/>
    <w:rsid w:val="001A6B87"/>
    <w:rsid w:val="001B7626"/>
    <w:rsid w:val="001C20DF"/>
    <w:rsid w:val="001C63A3"/>
    <w:rsid w:val="001D26C5"/>
    <w:rsid w:val="001D5A03"/>
    <w:rsid w:val="001E4411"/>
    <w:rsid w:val="001F3A8C"/>
    <w:rsid w:val="002036FA"/>
    <w:rsid w:val="00205A15"/>
    <w:rsid w:val="00207A2C"/>
    <w:rsid w:val="00214E2E"/>
    <w:rsid w:val="00227148"/>
    <w:rsid w:val="00242751"/>
    <w:rsid w:val="00246B01"/>
    <w:rsid w:val="002577B0"/>
    <w:rsid w:val="00270C41"/>
    <w:rsid w:val="0028675E"/>
    <w:rsid w:val="00286B32"/>
    <w:rsid w:val="00290D7E"/>
    <w:rsid w:val="002947B0"/>
    <w:rsid w:val="0029524A"/>
    <w:rsid w:val="0029542A"/>
    <w:rsid w:val="00296F66"/>
    <w:rsid w:val="002A2E9C"/>
    <w:rsid w:val="002A5AF0"/>
    <w:rsid w:val="002A62FE"/>
    <w:rsid w:val="002B1A0B"/>
    <w:rsid w:val="002B308D"/>
    <w:rsid w:val="002B7EDC"/>
    <w:rsid w:val="002B7F13"/>
    <w:rsid w:val="002C2530"/>
    <w:rsid w:val="002C31F3"/>
    <w:rsid w:val="002C38E7"/>
    <w:rsid w:val="002C450A"/>
    <w:rsid w:val="002C49DD"/>
    <w:rsid w:val="002C7AAB"/>
    <w:rsid w:val="002D0DED"/>
    <w:rsid w:val="002D3A35"/>
    <w:rsid w:val="002D69BC"/>
    <w:rsid w:val="002E0C9A"/>
    <w:rsid w:val="002E289D"/>
    <w:rsid w:val="002E3BE3"/>
    <w:rsid w:val="002F33F2"/>
    <w:rsid w:val="002F7BC4"/>
    <w:rsid w:val="003000DB"/>
    <w:rsid w:val="00303540"/>
    <w:rsid w:val="00314CF2"/>
    <w:rsid w:val="00317F50"/>
    <w:rsid w:val="003216B3"/>
    <w:rsid w:val="003253E7"/>
    <w:rsid w:val="00334779"/>
    <w:rsid w:val="003372BD"/>
    <w:rsid w:val="00342172"/>
    <w:rsid w:val="00346CD6"/>
    <w:rsid w:val="00351084"/>
    <w:rsid w:val="00354BC5"/>
    <w:rsid w:val="00355898"/>
    <w:rsid w:val="003563F0"/>
    <w:rsid w:val="00357CCD"/>
    <w:rsid w:val="00362F3D"/>
    <w:rsid w:val="00363DA4"/>
    <w:rsid w:val="003670A8"/>
    <w:rsid w:val="00370C78"/>
    <w:rsid w:val="00380490"/>
    <w:rsid w:val="00381947"/>
    <w:rsid w:val="00386C12"/>
    <w:rsid w:val="00387663"/>
    <w:rsid w:val="00391CAD"/>
    <w:rsid w:val="0039427E"/>
    <w:rsid w:val="00395086"/>
    <w:rsid w:val="003A6EE4"/>
    <w:rsid w:val="003B0103"/>
    <w:rsid w:val="003C0DC0"/>
    <w:rsid w:val="003D1E14"/>
    <w:rsid w:val="003E0863"/>
    <w:rsid w:val="003E429E"/>
    <w:rsid w:val="003F0235"/>
    <w:rsid w:val="003F1C07"/>
    <w:rsid w:val="003F3377"/>
    <w:rsid w:val="003F64C4"/>
    <w:rsid w:val="0040613B"/>
    <w:rsid w:val="00410B64"/>
    <w:rsid w:val="00410C25"/>
    <w:rsid w:val="0041552A"/>
    <w:rsid w:val="004212F4"/>
    <w:rsid w:val="004218F3"/>
    <w:rsid w:val="00423CE2"/>
    <w:rsid w:val="00443AFD"/>
    <w:rsid w:val="0045202E"/>
    <w:rsid w:val="00466221"/>
    <w:rsid w:val="004707A5"/>
    <w:rsid w:val="00486977"/>
    <w:rsid w:val="00490EC8"/>
    <w:rsid w:val="00493211"/>
    <w:rsid w:val="00493BB6"/>
    <w:rsid w:val="004A2DD9"/>
    <w:rsid w:val="004A61E0"/>
    <w:rsid w:val="004B0F9D"/>
    <w:rsid w:val="004B1466"/>
    <w:rsid w:val="004B1D43"/>
    <w:rsid w:val="004B3BAD"/>
    <w:rsid w:val="004B3F9D"/>
    <w:rsid w:val="004C3F29"/>
    <w:rsid w:val="004C56C4"/>
    <w:rsid w:val="004D247F"/>
    <w:rsid w:val="004E2D8B"/>
    <w:rsid w:val="004E66C7"/>
    <w:rsid w:val="004F251B"/>
    <w:rsid w:val="00501465"/>
    <w:rsid w:val="00506502"/>
    <w:rsid w:val="0051258D"/>
    <w:rsid w:val="005228EE"/>
    <w:rsid w:val="0053219B"/>
    <w:rsid w:val="00533FB0"/>
    <w:rsid w:val="00536FAF"/>
    <w:rsid w:val="00542ACC"/>
    <w:rsid w:val="00552429"/>
    <w:rsid w:val="0055304F"/>
    <w:rsid w:val="0055408B"/>
    <w:rsid w:val="0055616C"/>
    <w:rsid w:val="005623D7"/>
    <w:rsid w:val="00563488"/>
    <w:rsid w:val="00567158"/>
    <w:rsid w:val="00574705"/>
    <w:rsid w:val="005748CD"/>
    <w:rsid w:val="00581584"/>
    <w:rsid w:val="00581DC7"/>
    <w:rsid w:val="00581E56"/>
    <w:rsid w:val="00585DAC"/>
    <w:rsid w:val="00591845"/>
    <w:rsid w:val="00594B37"/>
    <w:rsid w:val="005A24FA"/>
    <w:rsid w:val="005A68F4"/>
    <w:rsid w:val="005A783F"/>
    <w:rsid w:val="005B41E7"/>
    <w:rsid w:val="005C3D8A"/>
    <w:rsid w:val="005D5D2C"/>
    <w:rsid w:val="005E1B66"/>
    <w:rsid w:val="00605468"/>
    <w:rsid w:val="0060634B"/>
    <w:rsid w:val="0062325A"/>
    <w:rsid w:val="00626364"/>
    <w:rsid w:val="00630F8F"/>
    <w:rsid w:val="00635C16"/>
    <w:rsid w:val="006400B3"/>
    <w:rsid w:val="006408D2"/>
    <w:rsid w:val="00647965"/>
    <w:rsid w:val="00652D17"/>
    <w:rsid w:val="0066170F"/>
    <w:rsid w:val="0066283C"/>
    <w:rsid w:val="0066444A"/>
    <w:rsid w:val="00672061"/>
    <w:rsid w:val="00672EC6"/>
    <w:rsid w:val="006752A0"/>
    <w:rsid w:val="00675D53"/>
    <w:rsid w:val="006813D6"/>
    <w:rsid w:val="00687A9D"/>
    <w:rsid w:val="00691012"/>
    <w:rsid w:val="00694B0D"/>
    <w:rsid w:val="006A4C77"/>
    <w:rsid w:val="006A69A6"/>
    <w:rsid w:val="006A7935"/>
    <w:rsid w:val="006B056F"/>
    <w:rsid w:val="006B0C49"/>
    <w:rsid w:val="006B1343"/>
    <w:rsid w:val="006C15C0"/>
    <w:rsid w:val="006C24DB"/>
    <w:rsid w:val="006C734B"/>
    <w:rsid w:val="006C7FFA"/>
    <w:rsid w:val="006D027F"/>
    <w:rsid w:val="006E0B9D"/>
    <w:rsid w:val="006F1B05"/>
    <w:rsid w:val="006F41EA"/>
    <w:rsid w:val="007025CB"/>
    <w:rsid w:val="00703E5E"/>
    <w:rsid w:val="00707B34"/>
    <w:rsid w:val="00710AB0"/>
    <w:rsid w:val="00711D06"/>
    <w:rsid w:val="00711FED"/>
    <w:rsid w:val="00716938"/>
    <w:rsid w:val="00720BA1"/>
    <w:rsid w:val="00721543"/>
    <w:rsid w:val="00725169"/>
    <w:rsid w:val="0072708C"/>
    <w:rsid w:val="00750F90"/>
    <w:rsid w:val="00763D47"/>
    <w:rsid w:val="00770E9D"/>
    <w:rsid w:val="0077444B"/>
    <w:rsid w:val="00780235"/>
    <w:rsid w:val="00783D6E"/>
    <w:rsid w:val="007862CB"/>
    <w:rsid w:val="00787C55"/>
    <w:rsid w:val="007B5C2E"/>
    <w:rsid w:val="007C198D"/>
    <w:rsid w:val="007C547D"/>
    <w:rsid w:val="007C5A6C"/>
    <w:rsid w:val="007C6A84"/>
    <w:rsid w:val="007D2122"/>
    <w:rsid w:val="007D6909"/>
    <w:rsid w:val="007D6CF8"/>
    <w:rsid w:val="007E194B"/>
    <w:rsid w:val="007E68EA"/>
    <w:rsid w:val="007E695F"/>
    <w:rsid w:val="007F01F4"/>
    <w:rsid w:val="007F6323"/>
    <w:rsid w:val="007F6BD5"/>
    <w:rsid w:val="00810A5A"/>
    <w:rsid w:val="00816379"/>
    <w:rsid w:val="00817F77"/>
    <w:rsid w:val="00826B29"/>
    <w:rsid w:val="00833192"/>
    <w:rsid w:val="00833DE0"/>
    <w:rsid w:val="00835729"/>
    <w:rsid w:val="00847725"/>
    <w:rsid w:val="00851BE6"/>
    <w:rsid w:val="00852ECA"/>
    <w:rsid w:val="00854810"/>
    <w:rsid w:val="00862995"/>
    <w:rsid w:val="00871763"/>
    <w:rsid w:val="00873380"/>
    <w:rsid w:val="00876793"/>
    <w:rsid w:val="008768F1"/>
    <w:rsid w:val="00877582"/>
    <w:rsid w:val="00897480"/>
    <w:rsid w:val="008A3DDA"/>
    <w:rsid w:val="008A4D80"/>
    <w:rsid w:val="008A7496"/>
    <w:rsid w:val="008B287C"/>
    <w:rsid w:val="008C4B3E"/>
    <w:rsid w:val="008C5082"/>
    <w:rsid w:val="008C5720"/>
    <w:rsid w:val="008D1223"/>
    <w:rsid w:val="008D1F6C"/>
    <w:rsid w:val="008D23E3"/>
    <w:rsid w:val="008D4246"/>
    <w:rsid w:val="008D5AC1"/>
    <w:rsid w:val="008F244A"/>
    <w:rsid w:val="008F393C"/>
    <w:rsid w:val="00903D6C"/>
    <w:rsid w:val="009046B2"/>
    <w:rsid w:val="00905A7A"/>
    <w:rsid w:val="00905CFC"/>
    <w:rsid w:val="00907D9F"/>
    <w:rsid w:val="009101E7"/>
    <w:rsid w:val="00914666"/>
    <w:rsid w:val="0092781F"/>
    <w:rsid w:val="00934D86"/>
    <w:rsid w:val="0094169F"/>
    <w:rsid w:val="00944261"/>
    <w:rsid w:val="00944425"/>
    <w:rsid w:val="009522E8"/>
    <w:rsid w:val="00952A8A"/>
    <w:rsid w:val="0095330A"/>
    <w:rsid w:val="00961957"/>
    <w:rsid w:val="009624E1"/>
    <w:rsid w:val="0097238E"/>
    <w:rsid w:val="00996288"/>
    <w:rsid w:val="009A2A0B"/>
    <w:rsid w:val="009A4378"/>
    <w:rsid w:val="009A463E"/>
    <w:rsid w:val="009A6710"/>
    <w:rsid w:val="009A7AEE"/>
    <w:rsid w:val="009B0D20"/>
    <w:rsid w:val="009B1F07"/>
    <w:rsid w:val="009C079F"/>
    <w:rsid w:val="009C46F5"/>
    <w:rsid w:val="009D33C7"/>
    <w:rsid w:val="009D7F72"/>
    <w:rsid w:val="009E3BDF"/>
    <w:rsid w:val="009F0B8D"/>
    <w:rsid w:val="009F5C8F"/>
    <w:rsid w:val="009F5E6D"/>
    <w:rsid w:val="009F7029"/>
    <w:rsid w:val="00A04193"/>
    <w:rsid w:val="00A04DDC"/>
    <w:rsid w:val="00A07D1B"/>
    <w:rsid w:val="00A16381"/>
    <w:rsid w:val="00A33651"/>
    <w:rsid w:val="00A34B9A"/>
    <w:rsid w:val="00A3723F"/>
    <w:rsid w:val="00A4031F"/>
    <w:rsid w:val="00A41BDF"/>
    <w:rsid w:val="00A421A5"/>
    <w:rsid w:val="00A431CC"/>
    <w:rsid w:val="00A454CC"/>
    <w:rsid w:val="00A456FC"/>
    <w:rsid w:val="00A46B5D"/>
    <w:rsid w:val="00A50A43"/>
    <w:rsid w:val="00A510BA"/>
    <w:rsid w:val="00A524A8"/>
    <w:rsid w:val="00A80E8B"/>
    <w:rsid w:val="00A95B3D"/>
    <w:rsid w:val="00AA23CF"/>
    <w:rsid w:val="00AA4507"/>
    <w:rsid w:val="00AB0A41"/>
    <w:rsid w:val="00AB3844"/>
    <w:rsid w:val="00AB7A29"/>
    <w:rsid w:val="00AD084C"/>
    <w:rsid w:val="00AD0E9F"/>
    <w:rsid w:val="00AD2C9C"/>
    <w:rsid w:val="00AE0C67"/>
    <w:rsid w:val="00AE1B8B"/>
    <w:rsid w:val="00AF312E"/>
    <w:rsid w:val="00AF3CE7"/>
    <w:rsid w:val="00B03C2C"/>
    <w:rsid w:val="00B03F17"/>
    <w:rsid w:val="00B05979"/>
    <w:rsid w:val="00B076AF"/>
    <w:rsid w:val="00B079A3"/>
    <w:rsid w:val="00B23261"/>
    <w:rsid w:val="00B32DDA"/>
    <w:rsid w:val="00B34F46"/>
    <w:rsid w:val="00B40A17"/>
    <w:rsid w:val="00B511AD"/>
    <w:rsid w:val="00B56211"/>
    <w:rsid w:val="00B56D90"/>
    <w:rsid w:val="00B6211F"/>
    <w:rsid w:val="00B63493"/>
    <w:rsid w:val="00B63A67"/>
    <w:rsid w:val="00B72A51"/>
    <w:rsid w:val="00B77354"/>
    <w:rsid w:val="00B800F5"/>
    <w:rsid w:val="00B83CB3"/>
    <w:rsid w:val="00B83FAD"/>
    <w:rsid w:val="00B84E13"/>
    <w:rsid w:val="00B9246C"/>
    <w:rsid w:val="00B94D97"/>
    <w:rsid w:val="00B95494"/>
    <w:rsid w:val="00BA113B"/>
    <w:rsid w:val="00BA2EBA"/>
    <w:rsid w:val="00BB39E9"/>
    <w:rsid w:val="00BB6306"/>
    <w:rsid w:val="00BD23EB"/>
    <w:rsid w:val="00BE115D"/>
    <w:rsid w:val="00BE1D0C"/>
    <w:rsid w:val="00BE4B9E"/>
    <w:rsid w:val="00BE53DE"/>
    <w:rsid w:val="00BE7AAF"/>
    <w:rsid w:val="00BF47F9"/>
    <w:rsid w:val="00C0228B"/>
    <w:rsid w:val="00C027EE"/>
    <w:rsid w:val="00C05A32"/>
    <w:rsid w:val="00C21598"/>
    <w:rsid w:val="00C24A29"/>
    <w:rsid w:val="00C47C14"/>
    <w:rsid w:val="00C5564B"/>
    <w:rsid w:val="00C60F84"/>
    <w:rsid w:val="00C614B7"/>
    <w:rsid w:val="00C63CED"/>
    <w:rsid w:val="00C6712E"/>
    <w:rsid w:val="00C7575C"/>
    <w:rsid w:val="00C8097C"/>
    <w:rsid w:val="00C83F78"/>
    <w:rsid w:val="00C86C65"/>
    <w:rsid w:val="00C92CEB"/>
    <w:rsid w:val="00C93F41"/>
    <w:rsid w:val="00C97565"/>
    <w:rsid w:val="00CB156F"/>
    <w:rsid w:val="00CB2BFB"/>
    <w:rsid w:val="00CC2670"/>
    <w:rsid w:val="00CC726F"/>
    <w:rsid w:val="00CD0139"/>
    <w:rsid w:val="00CD329C"/>
    <w:rsid w:val="00CD3548"/>
    <w:rsid w:val="00CE0F40"/>
    <w:rsid w:val="00CF6B7B"/>
    <w:rsid w:val="00D0077C"/>
    <w:rsid w:val="00D0371D"/>
    <w:rsid w:val="00D038EA"/>
    <w:rsid w:val="00D0618B"/>
    <w:rsid w:val="00D13923"/>
    <w:rsid w:val="00D205A1"/>
    <w:rsid w:val="00D21B9A"/>
    <w:rsid w:val="00D32AF3"/>
    <w:rsid w:val="00D3649A"/>
    <w:rsid w:val="00D36D5B"/>
    <w:rsid w:val="00D37D8B"/>
    <w:rsid w:val="00D4137A"/>
    <w:rsid w:val="00D53EBC"/>
    <w:rsid w:val="00D6459B"/>
    <w:rsid w:val="00D81A8B"/>
    <w:rsid w:val="00D822C0"/>
    <w:rsid w:val="00D83716"/>
    <w:rsid w:val="00D85A1B"/>
    <w:rsid w:val="00D92ADC"/>
    <w:rsid w:val="00D93159"/>
    <w:rsid w:val="00DA6A02"/>
    <w:rsid w:val="00DB7277"/>
    <w:rsid w:val="00DC0585"/>
    <w:rsid w:val="00DC2B2B"/>
    <w:rsid w:val="00DD2736"/>
    <w:rsid w:val="00DD48FC"/>
    <w:rsid w:val="00DD7C98"/>
    <w:rsid w:val="00DE3A31"/>
    <w:rsid w:val="00DE5C16"/>
    <w:rsid w:val="00DE6F93"/>
    <w:rsid w:val="00DF3291"/>
    <w:rsid w:val="00DF7FA0"/>
    <w:rsid w:val="00E0394F"/>
    <w:rsid w:val="00E0475D"/>
    <w:rsid w:val="00E05113"/>
    <w:rsid w:val="00E10157"/>
    <w:rsid w:val="00E20EAC"/>
    <w:rsid w:val="00E32FB8"/>
    <w:rsid w:val="00E35633"/>
    <w:rsid w:val="00E429E3"/>
    <w:rsid w:val="00E435B5"/>
    <w:rsid w:val="00E47A68"/>
    <w:rsid w:val="00E55089"/>
    <w:rsid w:val="00E56538"/>
    <w:rsid w:val="00E723A2"/>
    <w:rsid w:val="00E750CC"/>
    <w:rsid w:val="00E82253"/>
    <w:rsid w:val="00E85918"/>
    <w:rsid w:val="00E85D61"/>
    <w:rsid w:val="00E93DE9"/>
    <w:rsid w:val="00E956DD"/>
    <w:rsid w:val="00EA054B"/>
    <w:rsid w:val="00EA28CA"/>
    <w:rsid w:val="00EA3867"/>
    <w:rsid w:val="00EC148B"/>
    <w:rsid w:val="00EC4FEF"/>
    <w:rsid w:val="00EC7AAD"/>
    <w:rsid w:val="00ED3641"/>
    <w:rsid w:val="00ED4F80"/>
    <w:rsid w:val="00EE20F3"/>
    <w:rsid w:val="00EE5024"/>
    <w:rsid w:val="00EF2C92"/>
    <w:rsid w:val="00EF7747"/>
    <w:rsid w:val="00EF7A56"/>
    <w:rsid w:val="00F020DC"/>
    <w:rsid w:val="00F04FF6"/>
    <w:rsid w:val="00F12726"/>
    <w:rsid w:val="00F15F01"/>
    <w:rsid w:val="00F20F1B"/>
    <w:rsid w:val="00F36E2C"/>
    <w:rsid w:val="00F40597"/>
    <w:rsid w:val="00F4255E"/>
    <w:rsid w:val="00F43CBC"/>
    <w:rsid w:val="00F5079C"/>
    <w:rsid w:val="00F51788"/>
    <w:rsid w:val="00F52A0F"/>
    <w:rsid w:val="00F74210"/>
    <w:rsid w:val="00F86134"/>
    <w:rsid w:val="00F900BC"/>
    <w:rsid w:val="00FA68D1"/>
    <w:rsid w:val="00FB24A3"/>
    <w:rsid w:val="00FB44DC"/>
    <w:rsid w:val="00FC49B7"/>
    <w:rsid w:val="00FC5C3C"/>
    <w:rsid w:val="00FC6FD3"/>
    <w:rsid w:val="00FD0C01"/>
    <w:rsid w:val="00FD18F2"/>
    <w:rsid w:val="00FD2833"/>
    <w:rsid w:val="00FD6FB8"/>
    <w:rsid w:val="00FE5482"/>
    <w:rsid w:val="00FE7048"/>
    <w:rsid w:val="00FE74A4"/>
    <w:rsid w:val="00FF0C0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1C4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261"/>
    <w:pPr>
      <w:spacing w:before="120" w:after="120"/>
    </w:pPr>
    <w:rPr>
      <w:rFonts w:ascii="Corbel" w:hAnsi="Corbel"/>
    </w:rPr>
  </w:style>
  <w:style w:type="paragraph" w:styleId="Heading1">
    <w:name w:val="heading 1"/>
    <w:basedOn w:val="Normal"/>
    <w:link w:val="Heading1Char"/>
    <w:uiPriority w:val="9"/>
    <w:qFormat/>
    <w:rsid w:val="00BE7AAF"/>
    <w:pPr>
      <w:spacing w:before="100" w:beforeAutospacing="1" w:after="100" w:afterAutospacing="1"/>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BE7AAF"/>
    <w:pPr>
      <w:spacing w:before="100" w:beforeAutospacing="1" w:after="100" w:afterAutospacing="1"/>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4193"/>
    <w:pPr>
      <w:autoSpaceDE w:val="0"/>
      <w:autoSpaceDN w:val="0"/>
      <w:adjustRightInd w:val="0"/>
    </w:pPr>
    <w:rPr>
      <w:rFonts w:ascii="Corbel" w:hAnsi="Corbel" w:cs="Corbel"/>
      <w:color w:val="000000"/>
      <w:sz w:val="24"/>
      <w:szCs w:val="24"/>
    </w:rPr>
  </w:style>
  <w:style w:type="character" w:styleId="CommentReference">
    <w:name w:val="annotation reference"/>
    <w:basedOn w:val="DefaultParagraphFont"/>
    <w:uiPriority w:val="99"/>
    <w:semiHidden/>
    <w:unhideWhenUsed/>
    <w:rsid w:val="005B41E7"/>
    <w:rPr>
      <w:sz w:val="16"/>
      <w:szCs w:val="16"/>
    </w:rPr>
  </w:style>
  <w:style w:type="paragraph" w:styleId="CommentText">
    <w:name w:val="annotation text"/>
    <w:basedOn w:val="Normal"/>
    <w:link w:val="CommentTextChar"/>
    <w:uiPriority w:val="99"/>
    <w:unhideWhenUsed/>
    <w:rsid w:val="005B41E7"/>
    <w:rPr>
      <w:sz w:val="20"/>
      <w:szCs w:val="20"/>
    </w:rPr>
  </w:style>
  <w:style w:type="character" w:customStyle="1" w:styleId="CommentTextChar">
    <w:name w:val="Comment Text Char"/>
    <w:basedOn w:val="DefaultParagraphFont"/>
    <w:link w:val="CommentText"/>
    <w:uiPriority w:val="99"/>
    <w:rsid w:val="005B41E7"/>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5B41E7"/>
    <w:rPr>
      <w:b/>
      <w:bCs/>
    </w:rPr>
  </w:style>
  <w:style w:type="character" w:customStyle="1" w:styleId="CommentSubjectChar">
    <w:name w:val="Comment Subject Char"/>
    <w:basedOn w:val="CommentTextChar"/>
    <w:link w:val="CommentSubject"/>
    <w:uiPriority w:val="99"/>
    <w:semiHidden/>
    <w:rsid w:val="005B41E7"/>
    <w:rPr>
      <w:rFonts w:ascii="Corbel" w:hAnsi="Corbel"/>
      <w:b/>
      <w:bCs/>
      <w:sz w:val="20"/>
      <w:szCs w:val="20"/>
    </w:rPr>
  </w:style>
  <w:style w:type="paragraph" w:styleId="Revision">
    <w:name w:val="Revision"/>
    <w:hidden/>
    <w:uiPriority w:val="99"/>
    <w:semiHidden/>
    <w:rsid w:val="005B41E7"/>
    <w:rPr>
      <w:rFonts w:ascii="Corbel" w:hAnsi="Corbel"/>
    </w:rPr>
  </w:style>
  <w:style w:type="paragraph" w:styleId="BalloonText">
    <w:name w:val="Balloon Text"/>
    <w:basedOn w:val="Normal"/>
    <w:link w:val="BalloonTextChar"/>
    <w:uiPriority w:val="99"/>
    <w:semiHidden/>
    <w:unhideWhenUsed/>
    <w:rsid w:val="005B41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1E7"/>
    <w:rPr>
      <w:rFonts w:ascii="Tahoma" w:hAnsi="Tahoma" w:cs="Tahoma"/>
      <w:sz w:val="16"/>
      <w:szCs w:val="16"/>
    </w:rPr>
  </w:style>
  <w:style w:type="paragraph" w:customStyle="1" w:styleId="Body1">
    <w:name w:val="Body 1"/>
    <w:rsid w:val="00876793"/>
    <w:pPr>
      <w:outlineLvl w:val="0"/>
    </w:pPr>
    <w:rPr>
      <w:rFonts w:ascii="Times New Roman" w:eastAsia="ヒラギノ角ゴ Pro W3" w:hAnsi="Times New Roman" w:cs="Times New Roman"/>
      <w:color w:val="000000"/>
      <w:sz w:val="24"/>
      <w:szCs w:val="20"/>
      <w:lang w:val="en-US"/>
    </w:rPr>
  </w:style>
  <w:style w:type="character" w:customStyle="1" w:styleId="apple-converted-space">
    <w:name w:val="apple-converted-space"/>
    <w:basedOn w:val="DefaultParagraphFont"/>
    <w:rsid w:val="00A510BA"/>
  </w:style>
  <w:style w:type="character" w:styleId="Emphasis">
    <w:name w:val="Emphasis"/>
    <w:basedOn w:val="DefaultParagraphFont"/>
    <w:uiPriority w:val="20"/>
    <w:qFormat/>
    <w:rsid w:val="00A510BA"/>
    <w:rPr>
      <w:i/>
      <w:iCs/>
    </w:rPr>
  </w:style>
  <w:style w:type="paragraph" w:styleId="Header">
    <w:name w:val="header"/>
    <w:basedOn w:val="Normal"/>
    <w:link w:val="HeaderChar"/>
    <w:uiPriority w:val="99"/>
    <w:unhideWhenUsed/>
    <w:rsid w:val="0040613B"/>
    <w:pPr>
      <w:tabs>
        <w:tab w:val="center" w:pos="4680"/>
        <w:tab w:val="right" w:pos="9360"/>
      </w:tabs>
      <w:spacing w:before="0" w:after="0"/>
    </w:pPr>
  </w:style>
  <w:style w:type="character" w:customStyle="1" w:styleId="HeaderChar">
    <w:name w:val="Header Char"/>
    <w:basedOn w:val="DefaultParagraphFont"/>
    <w:link w:val="Header"/>
    <w:uiPriority w:val="99"/>
    <w:rsid w:val="0040613B"/>
    <w:rPr>
      <w:rFonts w:ascii="Corbel" w:hAnsi="Corbel"/>
    </w:rPr>
  </w:style>
  <w:style w:type="paragraph" w:styleId="Footer">
    <w:name w:val="footer"/>
    <w:basedOn w:val="Normal"/>
    <w:link w:val="FooterChar"/>
    <w:uiPriority w:val="99"/>
    <w:unhideWhenUsed/>
    <w:rsid w:val="0040613B"/>
    <w:pPr>
      <w:tabs>
        <w:tab w:val="center" w:pos="4680"/>
        <w:tab w:val="right" w:pos="9360"/>
      </w:tabs>
      <w:spacing w:before="0" w:after="0"/>
    </w:pPr>
  </w:style>
  <w:style w:type="character" w:customStyle="1" w:styleId="FooterChar">
    <w:name w:val="Footer Char"/>
    <w:basedOn w:val="DefaultParagraphFont"/>
    <w:link w:val="Footer"/>
    <w:uiPriority w:val="99"/>
    <w:rsid w:val="0040613B"/>
    <w:rPr>
      <w:rFonts w:ascii="Corbel" w:hAnsi="Corbel"/>
    </w:rPr>
  </w:style>
  <w:style w:type="paragraph" w:styleId="ListParagraph">
    <w:name w:val="List Paragraph"/>
    <w:basedOn w:val="Normal"/>
    <w:uiPriority w:val="34"/>
    <w:qFormat/>
    <w:rsid w:val="008D4246"/>
    <w:pPr>
      <w:ind w:left="720"/>
      <w:contextualSpacing/>
    </w:pPr>
  </w:style>
  <w:style w:type="paragraph" w:styleId="NormalWeb">
    <w:name w:val="Normal (Web)"/>
    <w:basedOn w:val="Normal"/>
    <w:uiPriority w:val="99"/>
    <w:unhideWhenUsed/>
    <w:rsid w:val="00100ADC"/>
    <w:pPr>
      <w:spacing w:before="100" w:beforeAutospacing="1" w:after="100" w:afterAutospacing="1"/>
    </w:pPr>
    <w:rPr>
      <w:rFonts w:ascii="Times New Roman" w:hAnsi="Times New Roman" w:cs="Times New Roman"/>
      <w:sz w:val="24"/>
      <w:szCs w:val="24"/>
      <w:lang w:eastAsia="en-GB"/>
    </w:rPr>
  </w:style>
  <w:style w:type="character" w:styleId="Hyperlink">
    <w:name w:val="Hyperlink"/>
    <w:basedOn w:val="DefaultParagraphFont"/>
    <w:uiPriority w:val="99"/>
    <w:unhideWhenUsed/>
    <w:rsid w:val="00363DA4"/>
    <w:rPr>
      <w:color w:val="0000FF"/>
      <w:u w:val="single"/>
    </w:rPr>
  </w:style>
  <w:style w:type="table" w:styleId="TableGrid">
    <w:name w:val="Table Grid"/>
    <w:basedOn w:val="TableNormal"/>
    <w:uiPriority w:val="59"/>
    <w:rsid w:val="00E75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33FB0"/>
    <w:pPr>
      <w:spacing w:before="0" w:after="0"/>
    </w:pPr>
    <w:rPr>
      <w:sz w:val="20"/>
      <w:szCs w:val="20"/>
    </w:rPr>
  </w:style>
  <w:style w:type="character" w:customStyle="1" w:styleId="EndnoteTextChar">
    <w:name w:val="Endnote Text Char"/>
    <w:basedOn w:val="DefaultParagraphFont"/>
    <w:link w:val="EndnoteText"/>
    <w:uiPriority w:val="99"/>
    <w:semiHidden/>
    <w:rsid w:val="00533FB0"/>
    <w:rPr>
      <w:rFonts w:ascii="Corbel" w:hAnsi="Corbel"/>
      <w:sz w:val="20"/>
      <w:szCs w:val="20"/>
    </w:rPr>
  </w:style>
  <w:style w:type="character" w:styleId="EndnoteReference">
    <w:name w:val="endnote reference"/>
    <w:basedOn w:val="DefaultParagraphFont"/>
    <w:uiPriority w:val="99"/>
    <w:semiHidden/>
    <w:unhideWhenUsed/>
    <w:rsid w:val="00533FB0"/>
    <w:rPr>
      <w:vertAlign w:val="superscript"/>
    </w:rPr>
  </w:style>
  <w:style w:type="character" w:customStyle="1" w:styleId="Heading1Char">
    <w:name w:val="Heading 1 Char"/>
    <w:basedOn w:val="DefaultParagraphFont"/>
    <w:link w:val="Heading1"/>
    <w:uiPriority w:val="9"/>
    <w:rsid w:val="00BE7AAF"/>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BE7AAF"/>
    <w:rPr>
      <w:rFonts w:ascii="Times New Roman" w:eastAsia="Times New Roman" w:hAnsi="Times New Roman" w:cs="Times New Roman"/>
      <w:b/>
      <w:bCs/>
      <w:sz w:val="36"/>
      <w:szCs w:val="36"/>
      <w:lang w:val="en-US"/>
    </w:rPr>
  </w:style>
  <w:style w:type="character" w:styleId="Strong">
    <w:name w:val="Strong"/>
    <w:basedOn w:val="DefaultParagraphFont"/>
    <w:uiPriority w:val="22"/>
    <w:qFormat/>
    <w:rsid w:val="00BE7AAF"/>
    <w:rPr>
      <w:b/>
      <w:bCs/>
    </w:rPr>
  </w:style>
  <w:style w:type="paragraph" w:styleId="FootnoteText">
    <w:name w:val="footnote text"/>
    <w:aliases w:val="single space,footnote text,ft"/>
    <w:basedOn w:val="Normal"/>
    <w:link w:val="FootnoteTextChar"/>
    <w:uiPriority w:val="99"/>
    <w:semiHidden/>
    <w:rsid w:val="0077444B"/>
    <w:pPr>
      <w:spacing w:before="0" w:after="0"/>
    </w:pPr>
    <w:rPr>
      <w:rFonts w:ascii="Times New Roman" w:eastAsia="Times New Roman" w:hAnsi="Times New Roman" w:cs="Times New Roman"/>
      <w:sz w:val="20"/>
      <w:szCs w:val="20"/>
      <w:lang w:eastAsia="en-GB"/>
    </w:rPr>
  </w:style>
  <w:style w:type="character" w:customStyle="1" w:styleId="FootnoteTextChar">
    <w:name w:val="Footnote Text Char"/>
    <w:aliases w:val="single space Char,footnote text Char,ft Char"/>
    <w:basedOn w:val="DefaultParagraphFont"/>
    <w:link w:val="FootnoteText"/>
    <w:uiPriority w:val="99"/>
    <w:semiHidden/>
    <w:rsid w:val="0077444B"/>
    <w:rPr>
      <w:rFonts w:ascii="Times New Roman" w:eastAsia="Times New Roman" w:hAnsi="Times New Roman" w:cs="Times New Roman"/>
      <w:sz w:val="20"/>
      <w:szCs w:val="20"/>
      <w:lang w:eastAsia="en-GB"/>
    </w:rPr>
  </w:style>
  <w:style w:type="character" w:styleId="FootnoteReference">
    <w:name w:val="footnote reference"/>
    <w:aliases w:val="ftref"/>
    <w:uiPriority w:val="99"/>
    <w:semiHidden/>
    <w:rsid w:val="007744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261"/>
    <w:pPr>
      <w:spacing w:before="120" w:after="120"/>
    </w:pPr>
    <w:rPr>
      <w:rFonts w:ascii="Corbel" w:hAnsi="Corbel"/>
    </w:rPr>
  </w:style>
  <w:style w:type="paragraph" w:styleId="Heading1">
    <w:name w:val="heading 1"/>
    <w:basedOn w:val="Normal"/>
    <w:link w:val="Heading1Char"/>
    <w:uiPriority w:val="9"/>
    <w:qFormat/>
    <w:rsid w:val="00BE7AAF"/>
    <w:pPr>
      <w:spacing w:before="100" w:beforeAutospacing="1" w:after="100" w:afterAutospacing="1"/>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BE7AAF"/>
    <w:pPr>
      <w:spacing w:before="100" w:beforeAutospacing="1" w:after="100" w:afterAutospacing="1"/>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4193"/>
    <w:pPr>
      <w:autoSpaceDE w:val="0"/>
      <w:autoSpaceDN w:val="0"/>
      <w:adjustRightInd w:val="0"/>
    </w:pPr>
    <w:rPr>
      <w:rFonts w:ascii="Corbel" w:hAnsi="Corbel" w:cs="Corbel"/>
      <w:color w:val="000000"/>
      <w:sz w:val="24"/>
      <w:szCs w:val="24"/>
    </w:rPr>
  </w:style>
  <w:style w:type="character" w:styleId="CommentReference">
    <w:name w:val="annotation reference"/>
    <w:basedOn w:val="DefaultParagraphFont"/>
    <w:uiPriority w:val="99"/>
    <w:semiHidden/>
    <w:unhideWhenUsed/>
    <w:rsid w:val="005B41E7"/>
    <w:rPr>
      <w:sz w:val="16"/>
      <w:szCs w:val="16"/>
    </w:rPr>
  </w:style>
  <w:style w:type="paragraph" w:styleId="CommentText">
    <w:name w:val="annotation text"/>
    <w:basedOn w:val="Normal"/>
    <w:link w:val="CommentTextChar"/>
    <w:uiPriority w:val="99"/>
    <w:unhideWhenUsed/>
    <w:rsid w:val="005B41E7"/>
    <w:rPr>
      <w:sz w:val="20"/>
      <w:szCs w:val="20"/>
    </w:rPr>
  </w:style>
  <w:style w:type="character" w:customStyle="1" w:styleId="CommentTextChar">
    <w:name w:val="Comment Text Char"/>
    <w:basedOn w:val="DefaultParagraphFont"/>
    <w:link w:val="CommentText"/>
    <w:uiPriority w:val="99"/>
    <w:rsid w:val="005B41E7"/>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5B41E7"/>
    <w:rPr>
      <w:b/>
      <w:bCs/>
    </w:rPr>
  </w:style>
  <w:style w:type="character" w:customStyle="1" w:styleId="CommentSubjectChar">
    <w:name w:val="Comment Subject Char"/>
    <w:basedOn w:val="CommentTextChar"/>
    <w:link w:val="CommentSubject"/>
    <w:uiPriority w:val="99"/>
    <w:semiHidden/>
    <w:rsid w:val="005B41E7"/>
    <w:rPr>
      <w:rFonts w:ascii="Corbel" w:hAnsi="Corbel"/>
      <w:b/>
      <w:bCs/>
      <w:sz w:val="20"/>
      <w:szCs w:val="20"/>
    </w:rPr>
  </w:style>
  <w:style w:type="paragraph" w:styleId="Revision">
    <w:name w:val="Revision"/>
    <w:hidden/>
    <w:uiPriority w:val="99"/>
    <w:semiHidden/>
    <w:rsid w:val="005B41E7"/>
    <w:rPr>
      <w:rFonts w:ascii="Corbel" w:hAnsi="Corbel"/>
    </w:rPr>
  </w:style>
  <w:style w:type="paragraph" w:styleId="BalloonText">
    <w:name w:val="Balloon Text"/>
    <w:basedOn w:val="Normal"/>
    <w:link w:val="BalloonTextChar"/>
    <w:uiPriority w:val="99"/>
    <w:semiHidden/>
    <w:unhideWhenUsed/>
    <w:rsid w:val="005B41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1E7"/>
    <w:rPr>
      <w:rFonts w:ascii="Tahoma" w:hAnsi="Tahoma" w:cs="Tahoma"/>
      <w:sz w:val="16"/>
      <w:szCs w:val="16"/>
    </w:rPr>
  </w:style>
  <w:style w:type="paragraph" w:customStyle="1" w:styleId="Body1">
    <w:name w:val="Body 1"/>
    <w:rsid w:val="00876793"/>
    <w:pPr>
      <w:outlineLvl w:val="0"/>
    </w:pPr>
    <w:rPr>
      <w:rFonts w:ascii="Times New Roman" w:eastAsia="ヒラギノ角ゴ Pro W3" w:hAnsi="Times New Roman" w:cs="Times New Roman"/>
      <w:color w:val="000000"/>
      <w:sz w:val="24"/>
      <w:szCs w:val="20"/>
      <w:lang w:val="en-US"/>
    </w:rPr>
  </w:style>
  <w:style w:type="character" w:customStyle="1" w:styleId="apple-converted-space">
    <w:name w:val="apple-converted-space"/>
    <w:basedOn w:val="DefaultParagraphFont"/>
    <w:rsid w:val="00A510BA"/>
  </w:style>
  <w:style w:type="character" w:styleId="Emphasis">
    <w:name w:val="Emphasis"/>
    <w:basedOn w:val="DefaultParagraphFont"/>
    <w:uiPriority w:val="20"/>
    <w:qFormat/>
    <w:rsid w:val="00A510BA"/>
    <w:rPr>
      <w:i/>
      <w:iCs/>
    </w:rPr>
  </w:style>
  <w:style w:type="paragraph" w:styleId="Header">
    <w:name w:val="header"/>
    <w:basedOn w:val="Normal"/>
    <w:link w:val="HeaderChar"/>
    <w:uiPriority w:val="99"/>
    <w:unhideWhenUsed/>
    <w:rsid w:val="0040613B"/>
    <w:pPr>
      <w:tabs>
        <w:tab w:val="center" w:pos="4680"/>
        <w:tab w:val="right" w:pos="9360"/>
      </w:tabs>
      <w:spacing w:before="0" w:after="0"/>
    </w:pPr>
  </w:style>
  <w:style w:type="character" w:customStyle="1" w:styleId="HeaderChar">
    <w:name w:val="Header Char"/>
    <w:basedOn w:val="DefaultParagraphFont"/>
    <w:link w:val="Header"/>
    <w:uiPriority w:val="99"/>
    <w:rsid w:val="0040613B"/>
    <w:rPr>
      <w:rFonts w:ascii="Corbel" w:hAnsi="Corbel"/>
    </w:rPr>
  </w:style>
  <w:style w:type="paragraph" w:styleId="Footer">
    <w:name w:val="footer"/>
    <w:basedOn w:val="Normal"/>
    <w:link w:val="FooterChar"/>
    <w:uiPriority w:val="99"/>
    <w:unhideWhenUsed/>
    <w:rsid w:val="0040613B"/>
    <w:pPr>
      <w:tabs>
        <w:tab w:val="center" w:pos="4680"/>
        <w:tab w:val="right" w:pos="9360"/>
      </w:tabs>
      <w:spacing w:before="0" w:after="0"/>
    </w:pPr>
  </w:style>
  <w:style w:type="character" w:customStyle="1" w:styleId="FooterChar">
    <w:name w:val="Footer Char"/>
    <w:basedOn w:val="DefaultParagraphFont"/>
    <w:link w:val="Footer"/>
    <w:uiPriority w:val="99"/>
    <w:rsid w:val="0040613B"/>
    <w:rPr>
      <w:rFonts w:ascii="Corbel" w:hAnsi="Corbel"/>
    </w:rPr>
  </w:style>
  <w:style w:type="paragraph" w:styleId="ListParagraph">
    <w:name w:val="List Paragraph"/>
    <w:basedOn w:val="Normal"/>
    <w:uiPriority w:val="34"/>
    <w:qFormat/>
    <w:rsid w:val="008D4246"/>
    <w:pPr>
      <w:ind w:left="720"/>
      <w:contextualSpacing/>
    </w:pPr>
  </w:style>
  <w:style w:type="paragraph" w:styleId="NormalWeb">
    <w:name w:val="Normal (Web)"/>
    <w:basedOn w:val="Normal"/>
    <w:uiPriority w:val="99"/>
    <w:unhideWhenUsed/>
    <w:rsid w:val="00100ADC"/>
    <w:pPr>
      <w:spacing w:before="100" w:beforeAutospacing="1" w:after="100" w:afterAutospacing="1"/>
    </w:pPr>
    <w:rPr>
      <w:rFonts w:ascii="Times New Roman" w:hAnsi="Times New Roman" w:cs="Times New Roman"/>
      <w:sz w:val="24"/>
      <w:szCs w:val="24"/>
      <w:lang w:eastAsia="en-GB"/>
    </w:rPr>
  </w:style>
  <w:style w:type="character" w:styleId="Hyperlink">
    <w:name w:val="Hyperlink"/>
    <w:basedOn w:val="DefaultParagraphFont"/>
    <w:uiPriority w:val="99"/>
    <w:unhideWhenUsed/>
    <w:rsid w:val="00363DA4"/>
    <w:rPr>
      <w:color w:val="0000FF"/>
      <w:u w:val="single"/>
    </w:rPr>
  </w:style>
  <w:style w:type="table" w:styleId="TableGrid">
    <w:name w:val="Table Grid"/>
    <w:basedOn w:val="TableNormal"/>
    <w:uiPriority w:val="59"/>
    <w:rsid w:val="00E75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33FB0"/>
    <w:pPr>
      <w:spacing w:before="0" w:after="0"/>
    </w:pPr>
    <w:rPr>
      <w:sz w:val="20"/>
      <w:szCs w:val="20"/>
    </w:rPr>
  </w:style>
  <w:style w:type="character" w:customStyle="1" w:styleId="EndnoteTextChar">
    <w:name w:val="Endnote Text Char"/>
    <w:basedOn w:val="DefaultParagraphFont"/>
    <w:link w:val="EndnoteText"/>
    <w:uiPriority w:val="99"/>
    <w:semiHidden/>
    <w:rsid w:val="00533FB0"/>
    <w:rPr>
      <w:rFonts w:ascii="Corbel" w:hAnsi="Corbel"/>
      <w:sz w:val="20"/>
      <w:szCs w:val="20"/>
    </w:rPr>
  </w:style>
  <w:style w:type="character" w:styleId="EndnoteReference">
    <w:name w:val="endnote reference"/>
    <w:basedOn w:val="DefaultParagraphFont"/>
    <w:uiPriority w:val="99"/>
    <w:semiHidden/>
    <w:unhideWhenUsed/>
    <w:rsid w:val="00533FB0"/>
    <w:rPr>
      <w:vertAlign w:val="superscript"/>
    </w:rPr>
  </w:style>
  <w:style w:type="character" w:customStyle="1" w:styleId="Heading1Char">
    <w:name w:val="Heading 1 Char"/>
    <w:basedOn w:val="DefaultParagraphFont"/>
    <w:link w:val="Heading1"/>
    <w:uiPriority w:val="9"/>
    <w:rsid w:val="00BE7AAF"/>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BE7AAF"/>
    <w:rPr>
      <w:rFonts w:ascii="Times New Roman" w:eastAsia="Times New Roman" w:hAnsi="Times New Roman" w:cs="Times New Roman"/>
      <w:b/>
      <w:bCs/>
      <w:sz w:val="36"/>
      <w:szCs w:val="36"/>
      <w:lang w:val="en-US"/>
    </w:rPr>
  </w:style>
  <w:style w:type="character" w:styleId="Strong">
    <w:name w:val="Strong"/>
    <w:basedOn w:val="DefaultParagraphFont"/>
    <w:uiPriority w:val="22"/>
    <w:qFormat/>
    <w:rsid w:val="00BE7AAF"/>
    <w:rPr>
      <w:b/>
      <w:bCs/>
    </w:rPr>
  </w:style>
  <w:style w:type="paragraph" w:styleId="FootnoteText">
    <w:name w:val="footnote text"/>
    <w:aliases w:val="single space,footnote text,ft"/>
    <w:basedOn w:val="Normal"/>
    <w:link w:val="FootnoteTextChar"/>
    <w:uiPriority w:val="99"/>
    <w:semiHidden/>
    <w:rsid w:val="0077444B"/>
    <w:pPr>
      <w:spacing w:before="0" w:after="0"/>
    </w:pPr>
    <w:rPr>
      <w:rFonts w:ascii="Times New Roman" w:eastAsia="Times New Roman" w:hAnsi="Times New Roman" w:cs="Times New Roman"/>
      <w:sz w:val="20"/>
      <w:szCs w:val="20"/>
      <w:lang w:eastAsia="en-GB"/>
    </w:rPr>
  </w:style>
  <w:style w:type="character" w:customStyle="1" w:styleId="FootnoteTextChar">
    <w:name w:val="Footnote Text Char"/>
    <w:aliases w:val="single space Char,footnote text Char,ft Char"/>
    <w:basedOn w:val="DefaultParagraphFont"/>
    <w:link w:val="FootnoteText"/>
    <w:uiPriority w:val="99"/>
    <w:semiHidden/>
    <w:rsid w:val="0077444B"/>
    <w:rPr>
      <w:rFonts w:ascii="Times New Roman" w:eastAsia="Times New Roman" w:hAnsi="Times New Roman" w:cs="Times New Roman"/>
      <w:sz w:val="20"/>
      <w:szCs w:val="20"/>
      <w:lang w:eastAsia="en-GB"/>
    </w:rPr>
  </w:style>
  <w:style w:type="character" w:styleId="FootnoteReference">
    <w:name w:val="footnote reference"/>
    <w:aliases w:val="ftref"/>
    <w:uiPriority w:val="99"/>
    <w:semiHidden/>
    <w:rsid w:val="007744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098">
      <w:bodyDiv w:val="1"/>
      <w:marLeft w:val="0"/>
      <w:marRight w:val="0"/>
      <w:marTop w:val="0"/>
      <w:marBottom w:val="0"/>
      <w:divBdr>
        <w:top w:val="none" w:sz="0" w:space="0" w:color="auto"/>
        <w:left w:val="none" w:sz="0" w:space="0" w:color="auto"/>
        <w:bottom w:val="none" w:sz="0" w:space="0" w:color="auto"/>
        <w:right w:val="none" w:sz="0" w:space="0" w:color="auto"/>
      </w:divBdr>
    </w:div>
    <w:div w:id="22291860">
      <w:bodyDiv w:val="1"/>
      <w:marLeft w:val="0"/>
      <w:marRight w:val="0"/>
      <w:marTop w:val="0"/>
      <w:marBottom w:val="0"/>
      <w:divBdr>
        <w:top w:val="none" w:sz="0" w:space="0" w:color="auto"/>
        <w:left w:val="none" w:sz="0" w:space="0" w:color="auto"/>
        <w:bottom w:val="none" w:sz="0" w:space="0" w:color="auto"/>
        <w:right w:val="none" w:sz="0" w:space="0" w:color="auto"/>
      </w:divBdr>
    </w:div>
    <w:div w:id="71860212">
      <w:bodyDiv w:val="1"/>
      <w:marLeft w:val="0"/>
      <w:marRight w:val="0"/>
      <w:marTop w:val="0"/>
      <w:marBottom w:val="0"/>
      <w:divBdr>
        <w:top w:val="none" w:sz="0" w:space="0" w:color="auto"/>
        <w:left w:val="none" w:sz="0" w:space="0" w:color="auto"/>
        <w:bottom w:val="none" w:sz="0" w:space="0" w:color="auto"/>
        <w:right w:val="none" w:sz="0" w:space="0" w:color="auto"/>
      </w:divBdr>
    </w:div>
    <w:div w:id="94836516">
      <w:bodyDiv w:val="1"/>
      <w:marLeft w:val="0"/>
      <w:marRight w:val="0"/>
      <w:marTop w:val="0"/>
      <w:marBottom w:val="0"/>
      <w:divBdr>
        <w:top w:val="none" w:sz="0" w:space="0" w:color="auto"/>
        <w:left w:val="none" w:sz="0" w:space="0" w:color="auto"/>
        <w:bottom w:val="none" w:sz="0" w:space="0" w:color="auto"/>
        <w:right w:val="none" w:sz="0" w:space="0" w:color="auto"/>
      </w:divBdr>
    </w:div>
    <w:div w:id="189417797">
      <w:bodyDiv w:val="1"/>
      <w:marLeft w:val="0"/>
      <w:marRight w:val="0"/>
      <w:marTop w:val="0"/>
      <w:marBottom w:val="0"/>
      <w:divBdr>
        <w:top w:val="none" w:sz="0" w:space="0" w:color="auto"/>
        <w:left w:val="none" w:sz="0" w:space="0" w:color="auto"/>
        <w:bottom w:val="none" w:sz="0" w:space="0" w:color="auto"/>
        <w:right w:val="none" w:sz="0" w:space="0" w:color="auto"/>
      </w:divBdr>
    </w:div>
    <w:div w:id="356197987">
      <w:bodyDiv w:val="1"/>
      <w:marLeft w:val="0"/>
      <w:marRight w:val="0"/>
      <w:marTop w:val="0"/>
      <w:marBottom w:val="0"/>
      <w:divBdr>
        <w:top w:val="none" w:sz="0" w:space="0" w:color="auto"/>
        <w:left w:val="none" w:sz="0" w:space="0" w:color="auto"/>
        <w:bottom w:val="none" w:sz="0" w:space="0" w:color="auto"/>
        <w:right w:val="none" w:sz="0" w:space="0" w:color="auto"/>
      </w:divBdr>
    </w:div>
    <w:div w:id="378431577">
      <w:bodyDiv w:val="1"/>
      <w:marLeft w:val="0"/>
      <w:marRight w:val="0"/>
      <w:marTop w:val="0"/>
      <w:marBottom w:val="0"/>
      <w:divBdr>
        <w:top w:val="none" w:sz="0" w:space="0" w:color="auto"/>
        <w:left w:val="none" w:sz="0" w:space="0" w:color="auto"/>
        <w:bottom w:val="none" w:sz="0" w:space="0" w:color="auto"/>
        <w:right w:val="none" w:sz="0" w:space="0" w:color="auto"/>
      </w:divBdr>
    </w:div>
    <w:div w:id="379591529">
      <w:bodyDiv w:val="1"/>
      <w:marLeft w:val="0"/>
      <w:marRight w:val="0"/>
      <w:marTop w:val="0"/>
      <w:marBottom w:val="0"/>
      <w:divBdr>
        <w:top w:val="none" w:sz="0" w:space="0" w:color="auto"/>
        <w:left w:val="none" w:sz="0" w:space="0" w:color="auto"/>
        <w:bottom w:val="none" w:sz="0" w:space="0" w:color="auto"/>
        <w:right w:val="none" w:sz="0" w:space="0" w:color="auto"/>
      </w:divBdr>
    </w:div>
    <w:div w:id="423309606">
      <w:bodyDiv w:val="1"/>
      <w:marLeft w:val="0"/>
      <w:marRight w:val="0"/>
      <w:marTop w:val="0"/>
      <w:marBottom w:val="0"/>
      <w:divBdr>
        <w:top w:val="none" w:sz="0" w:space="0" w:color="auto"/>
        <w:left w:val="none" w:sz="0" w:space="0" w:color="auto"/>
        <w:bottom w:val="none" w:sz="0" w:space="0" w:color="auto"/>
        <w:right w:val="none" w:sz="0" w:space="0" w:color="auto"/>
      </w:divBdr>
    </w:div>
    <w:div w:id="772673294">
      <w:bodyDiv w:val="1"/>
      <w:marLeft w:val="0"/>
      <w:marRight w:val="0"/>
      <w:marTop w:val="0"/>
      <w:marBottom w:val="0"/>
      <w:divBdr>
        <w:top w:val="none" w:sz="0" w:space="0" w:color="auto"/>
        <w:left w:val="none" w:sz="0" w:space="0" w:color="auto"/>
        <w:bottom w:val="none" w:sz="0" w:space="0" w:color="auto"/>
        <w:right w:val="none" w:sz="0" w:space="0" w:color="auto"/>
      </w:divBdr>
    </w:div>
    <w:div w:id="791283908">
      <w:bodyDiv w:val="1"/>
      <w:marLeft w:val="0"/>
      <w:marRight w:val="0"/>
      <w:marTop w:val="0"/>
      <w:marBottom w:val="0"/>
      <w:divBdr>
        <w:top w:val="none" w:sz="0" w:space="0" w:color="auto"/>
        <w:left w:val="none" w:sz="0" w:space="0" w:color="auto"/>
        <w:bottom w:val="none" w:sz="0" w:space="0" w:color="auto"/>
        <w:right w:val="none" w:sz="0" w:space="0" w:color="auto"/>
      </w:divBdr>
    </w:div>
    <w:div w:id="944918740">
      <w:bodyDiv w:val="1"/>
      <w:marLeft w:val="0"/>
      <w:marRight w:val="0"/>
      <w:marTop w:val="0"/>
      <w:marBottom w:val="0"/>
      <w:divBdr>
        <w:top w:val="none" w:sz="0" w:space="0" w:color="auto"/>
        <w:left w:val="none" w:sz="0" w:space="0" w:color="auto"/>
        <w:bottom w:val="none" w:sz="0" w:space="0" w:color="auto"/>
        <w:right w:val="none" w:sz="0" w:space="0" w:color="auto"/>
      </w:divBdr>
    </w:div>
    <w:div w:id="1088425220">
      <w:bodyDiv w:val="1"/>
      <w:marLeft w:val="0"/>
      <w:marRight w:val="0"/>
      <w:marTop w:val="0"/>
      <w:marBottom w:val="0"/>
      <w:divBdr>
        <w:top w:val="none" w:sz="0" w:space="0" w:color="auto"/>
        <w:left w:val="none" w:sz="0" w:space="0" w:color="auto"/>
        <w:bottom w:val="none" w:sz="0" w:space="0" w:color="auto"/>
        <w:right w:val="none" w:sz="0" w:space="0" w:color="auto"/>
      </w:divBdr>
    </w:div>
    <w:div w:id="1180582287">
      <w:bodyDiv w:val="1"/>
      <w:marLeft w:val="150"/>
      <w:marRight w:val="150"/>
      <w:marTop w:val="0"/>
      <w:marBottom w:val="0"/>
      <w:divBdr>
        <w:top w:val="none" w:sz="0" w:space="0" w:color="auto"/>
        <w:left w:val="none" w:sz="0" w:space="0" w:color="auto"/>
        <w:bottom w:val="none" w:sz="0" w:space="0" w:color="auto"/>
        <w:right w:val="none" w:sz="0" w:space="0" w:color="auto"/>
      </w:divBdr>
      <w:divsChild>
        <w:div w:id="770517914">
          <w:marLeft w:val="0"/>
          <w:marRight w:val="0"/>
          <w:marTop w:val="0"/>
          <w:marBottom w:val="0"/>
          <w:divBdr>
            <w:top w:val="none" w:sz="0" w:space="0" w:color="auto"/>
            <w:left w:val="none" w:sz="0" w:space="0" w:color="auto"/>
            <w:bottom w:val="none" w:sz="0" w:space="0" w:color="auto"/>
            <w:right w:val="none" w:sz="0" w:space="0" w:color="auto"/>
          </w:divBdr>
          <w:divsChild>
            <w:div w:id="1216625542">
              <w:marLeft w:val="0"/>
              <w:marRight w:val="0"/>
              <w:marTop w:val="0"/>
              <w:marBottom w:val="0"/>
              <w:divBdr>
                <w:top w:val="single" w:sz="18" w:space="0" w:color="auto"/>
                <w:left w:val="none" w:sz="0" w:space="0" w:color="auto"/>
                <w:bottom w:val="none" w:sz="0" w:space="0" w:color="auto"/>
                <w:right w:val="none" w:sz="0" w:space="0" w:color="auto"/>
              </w:divBdr>
              <w:divsChild>
                <w:div w:id="394816689">
                  <w:marLeft w:val="0"/>
                  <w:marRight w:val="0"/>
                  <w:marTop w:val="0"/>
                  <w:marBottom w:val="150"/>
                  <w:divBdr>
                    <w:top w:val="single" w:sz="18" w:space="0" w:color="222222"/>
                    <w:left w:val="none" w:sz="0" w:space="0" w:color="auto"/>
                    <w:bottom w:val="none" w:sz="0" w:space="0" w:color="auto"/>
                    <w:right w:val="none" w:sz="0" w:space="0" w:color="auto"/>
                  </w:divBdr>
                  <w:divsChild>
                    <w:div w:id="612708636">
                      <w:marLeft w:val="0"/>
                      <w:marRight w:val="0"/>
                      <w:marTop w:val="0"/>
                      <w:marBottom w:val="0"/>
                      <w:divBdr>
                        <w:top w:val="none" w:sz="0" w:space="0" w:color="auto"/>
                        <w:left w:val="none" w:sz="0" w:space="0" w:color="auto"/>
                        <w:bottom w:val="none" w:sz="0" w:space="0" w:color="auto"/>
                        <w:right w:val="none" w:sz="0" w:space="0" w:color="auto"/>
                      </w:divBdr>
                      <w:divsChild>
                        <w:div w:id="2070838028">
                          <w:marLeft w:val="0"/>
                          <w:marRight w:val="0"/>
                          <w:marTop w:val="0"/>
                          <w:marBottom w:val="0"/>
                          <w:divBdr>
                            <w:top w:val="none" w:sz="0" w:space="0" w:color="auto"/>
                            <w:left w:val="none" w:sz="0" w:space="0" w:color="auto"/>
                            <w:bottom w:val="none" w:sz="0" w:space="0" w:color="auto"/>
                            <w:right w:val="none" w:sz="0" w:space="0" w:color="auto"/>
                          </w:divBdr>
                          <w:divsChild>
                            <w:div w:id="68632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975377">
      <w:bodyDiv w:val="1"/>
      <w:marLeft w:val="0"/>
      <w:marRight w:val="0"/>
      <w:marTop w:val="0"/>
      <w:marBottom w:val="0"/>
      <w:divBdr>
        <w:top w:val="none" w:sz="0" w:space="0" w:color="auto"/>
        <w:left w:val="none" w:sz="0" w:space="0" w:color="auto"/>
        <w:bottom w:val="none" w:sz="0" w:space="0" w:color="auto"/>
        <w:right w:val="none" w:sz="0" w:space="0" w:color="auto"/>
      </w:divBdr>
    </w:div>
    <w:div w:id="1292244379">
      <w:bodyDiv w:val="1"/>
      <w:marLeft w:val="0"/>
      <w:marRight w:val="0"/>
      <w:marTop w:val="0"/>
      <w:marBottom w:val="0"/>
      <w:divBdr>
        <w:top w:val="none" w:sz="0" w:space="0" w:color="auto"/>
        <w:left w:val="none" w:sz="0" w:space="0" w:color="auto"/>
        <w:bottom w:val="none" w:sz="0" w:space="0" w:color="auto"/>
        <w:right w:val="none" w:sz="0" w:space="0" w:color="auto"/>
      </w:divBdr>
    </w:div>
    <w:div w:id="1374816677">
      <w:bodyDiv w:val="1"/>
      <w:marLeft w:val="0"/>
      <w:marRight w:val="0"/>
      <w:marTop w:val="0"/>
      <w:marBottom w:val="0"/>
      <w:divBdr>
        <w:top w:val="none" w:sz="0" w:space="0" w:color="auto"/>
        <w:left w:val="none" w:sz="0" w:space="0" w:color="auto"/>
        <w:bottom w:val="none" w:sz="0" w:space="0" w:color="auto"/>
        <w:right w:val="none" w:sz="0" w:space="0" w:color="auto"/>
      </w:divBdr>
    </w:div>
    <w:div w:id="1404647388">
      <w:bodyDiv w:val="1"/>
      <w:marLeft w:val="0"/>
      <w:marRight w:val="0"/>
      <w:marTop w:val="0"/>
      <w:marBottom w:val="0"/>
      <w:divBdr>
        <w:top w:val="none" w:sz="0" w:space="0" w:color="auto"/>
        <w:left w:val="none" w:sz="0" w:space="0" w:color="auto"/>
        <w:bottom w:val="none" w:sz="0" w:space="0" w:color="auto"/>
        <w:right w:val="none" w:sz="0" w:space="0" w:color="auto"/>
      </w:divBdr>
    </w:div>
    <w:div w:id="1441950478">
      <w:bodyDiv w:val="1"/>
      <w:marLeft w:val="0"/>
      <w:marRight w:val="0"/>
      <w:marTop w:val="0"/>
      <w:marBottom w:val="0"/>
      <w:divBdr>
        <w:top w:val="none" w:sz="0" w:space="0" w:color="auto"/>
        <w:left w:val="none" w:sz="0" w:space="0" w:color="auto"/>
        <w:bottom w:val="none" w:sz="0" w:space="0" w:color="auto"/>
        <w:right w:val="none" w:sz="0" w:space="0" w:color="auto"/>
      </w:divBdr>
    </w:div>
    <w:div w:id="1632590234">
      <w:bodyDiv w:val="1"/>
      <w:marLeft w:val="0"/>
      <w:marRight w:val="0"/>
      <w:marTop w:val="0"/>
      <w:marBottom w:val="0"/>
      <w:divBdr>
        <w:top w:val="none" w:sz="0" w:space="0" w:color="auto"/>
        <w:left w:val="none" w:sz="0" w:space="0" w:color="auto"/>
        <w:bottom w:val="none" w:sz="0" w:space="0" w:color="auto"/>
        <w:right w:val="none" w:sz="0" w:space="0" w:color="auto"/>
      </w:divBdr>
    </w:div>
    <w:div w:id="1706177554">
      <w:bodyDiv w:val="1"/>
      <w:marLeft w:val="0"/>
      <w:marRight w:val="0"/>
      <w:marTop w:val="0"/>
      <w:marBottom w:val="0"/>
      <w:divBdr>
        <w:top w:val="none" w:sz="0" w:space="0" w:color="auto"/>
        <w:left w:val="none" w:sz="0" w:space="0" w:color="auto"/>
        <w:bottom w:val="none" w:sz="0" w:space="0" w:color="auto"/>
        <w:right w:val="none" w:sz="0" w:space="0" w:color="auto"/>
      </w:divBdr>
    </w:div>
    <w:div w:id="1726953074">
      <w:bodyDiv w:val="1"/>
      <w:marLeft w:val="0"/>
      <w:marRight w:val="0"/>
      <w:marTop w:val="0"/>
      <w:marBottom w:val="0"/>
      <w:divBdr>
        <w:top w:val="none" w:sz="0" w:space="0" w:color="auto"/>
        <w:left w:val="none" w:sz="0" w:space="0" w:color="auto"/>
        <w:bottom w:val="none" w:sz="0" w:space="0" w:color="auto"/>
        <w:right w:val="none" w:sz="0" w:space="0" w:color="auto"/>
      </w:divBdr>
    </w:div>
    <w:div w:id="1829398491">
      <w:bodyDiv w:val="1"/>
      <w:marLeft w:val="0"/>
      <w:marRight w:val="0"/>
      <w:marTop w:val="0"/>
      <w:marBottom w:val="0"/>
      <w:divBdr>
        <w:top w:val="none" w:sz="0" w:space="0" w:color="auto"/>
        <w:left w:val="none" w:sz="0" w:space="0" w:color="auto"/>
        <w:bottom w:val="none" w:sz="0" w:space="0" w:color="auto"/>
        <w:right w:val="none" w:sz="0" w:space="0" w:color="auto"/>
      </w:divBdr>
    </w:div>
    <w:div w:id="1936134089">
      <w:bodyDiv w:val="1"/>
      <w:marLeft w:val="0"/>
      <w:marRight w:val="0"/>
      <w:marTop w:val="0"/>
      <w:marBottom w:val="0"/>
      <w:divBdr>
        <w:top w:val="none" w:sz="0" w:space="0" w:color="auto"/>
        <w:left w:val="none" w:sz="0" w:space="0" w:color="auto"/>
        <w:bottom w:val="none" w:sz="0" w:space="0" w:color="auto"/>
        <w:right w:val="none" w:sz="0" w:space="0" w:color="auto"/>
      </w:divBdr>
    </w:div>
    <w:div w:id="1973637559">
      <w:bodyDiv w:val="1"/>
      <w:marLeft w:val="0"/>
      <w:marRight w:val="0"/>
      <w:marTop w:val="0"/>
      <w:marBottom w:val="0"/>
      <w:divBdr>
        <w:top w:val="none" w:sz="0" w:space="0" w:color="auto"/>
        <w:left w:val="none" w:sz="0" w:space="0" w:color="auto"/>
        <w:bottom w:val="none" w:sz="0" w:space="0" w:color="auto"/>
        <w:right w:val="none" w:sz="0" w:space="0" w:color="auto"/>
      </w:divBdr>
    </w:div>
    <w:div w:id="212168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71580-0E7C-44A1-9F0D-B594A2B9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5906</Words>
  <Characters>33665</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39493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dc:creator>
  <cp:lastModifiedBy>Daphne Panayotatos</cp:lastModifiedBy>
  <cp:revision>2</cp:revision>
  <cp:lastPrinted>2015-11-23T23:37:00Z</cp:lastPrinted>
  <dcterms:created xsi:type="dcterms:W3CDTF">2015-11-24T18:46:00Z</dcterms:created>
  <dcterms:modified xsi:type="dcterms:W3CDTF">2015-11-24T18:46:00Z</dcterms:modified>
</cp:coreProperties>
</file>